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Titreprincipal"/>
        <w:jc w:val="left"/>
        <w:rPr>
          <w:rFonts w:ascii="Arial" w:hAnsi="Arial" w:cs="Arial"/>
          <w:color w:val="000000"/>
          <w:sz w:val="22"/>
          <w:szCs w:val="22"/>
          <w:u w:val="none"/>
        </w:rPr>
      </w:pPr>
      <w:r>
        <w:rPr>
          <w:rFonts w:ascii="Arial" w:hAnsi="Arial" w:cs="Arial"/>
          <w:noProof/>
          <w:color w:val="000000"/>
          <w:sz w:val="22"/>
          <w:szCs w:val="22"/>
          <w:u w:val="none"/>
        </w:rPr>
        <w:drawing>
          <wp:inline distT="0" distB="0" distL="0" distR="0">
            <wp:extent cx="1274445" cy="1115695"/>
            <wp:effectExtent l="0" t="0" r="1905"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4445" cy="1115695"/>
                    </a:xfrm>
                    <a:prstGeom prst="rect">
                      <a:avLst/>
                    </a:prstGeom>
                    <a:noFill/>
                  </pic:spPr>
                </pic:pic>
              </a:graphicData>
            </a:graphic>
          </wp:inline>
        </w:drawing>
      </w:r>
    </w:p>
    <w:p>
      <w:pPr>
        <w:pStyle w:val="Normal1"/>
        <w:spacing w:after="0"/>
        <w:jc w:val="center"/>
        <w:rPr>
          <w:rFonts w:ascii="Arial" w:hAnsi="Arial" w:cs="Arial"/>
          <w:b/>
          <w:color w:val="000000"/>
          <w:sz w:val="22"/>
          <w:szCs w:val="22"/>
        </w:rPr>
      </w:pPr>
    </w:p>
    <w:p>
      <w:pPr>
        <w:tabs>
          <w:tab w:val="left" w:pos="851"/>
        </w:tabs>
        <w:spacing w:before="60" w:after="60"/>
        <w:jc w:val="right"/>
        <w:rPr>
          <w:rFonts w:ascii="Arial" w:hAnsi="Arial" w:cs="Arial"/>
          <w:sz w:val="22"/>
          <w:szCs w:val="22"/>
        </w:rPr>
      </w:pPr>
      <w:r>
        <w:rPr>
          <w:rFonts w:ascii="Arial" w:hAnsi="Arial" w:cs="Arial"/>
          <w:sz w:val="22"/>
          <w:szCs w:val="22"/>
        </w:rPr>
        <w:t>Secrétariat</w:t>
      </w:r>
    </w:p>
    <w:p>
      <w:pPr>
        <w:tabs>
          <w:tab w:val="left" w:pos="851"/>
        </w:tabs>
        <w:spacing w:before="60" w:after="60"/>
        <w:jc w:val="right"/>
        <w:rPr>
          <w:rFonts w:ascii="Arial" w:hAnsi="Arial" w:cs="Arial"/>
          <w:sz w:val="22"/>
          <w:szCs w:val="22"/>
        </w:rPr>
      </w:pPr>
      <w:r>
        <w:rPr>
          <w:rFonts w:ascii="Arial" w:hAnsi="Arial" w:cs="Arial"/>
          <w:sz w:val="22"/>
          <w:szCs w:val="22"/>
        </w:rPr>
        <w:t>Général</w:t>
      </w:r>
    </w:p>
    <w:p>
      <w:pPr>
        <w:pStyle w:val="Normal1"/>
        <w:spacing w:after="0"/>
        <w:jc w:val="center"/>
        <w:rPr>
          <w:rFonts w:ascii="Arial" w:hAnsi="Arial" w:cs="Arial"/>
          <w:b/>
          <w:color w:val="000000"/>
          <w:sz w:val="22"/>
          <w:szCs w:val="22"/>
        </w:rPr>
      </w:pPr>
    </w:p>
    <w:p>
      <w:pPr>
        <w:spacing w:before="120"/>
        <w:rPr>
          <w:rFonts w:eastAsia="Times New Roman" w:cs="Times New Roman"/>
          <w:b/>
          <w:sz w:val="24"/>
          <w:lang w:bidi="ar-SA"/>
        </w:rPr>
      </w:pPr>
      <w:r>
        <w:rPr>
          <w:rFonts w:eastAsia="Times New Roman" w:cs="Times New Roman"/>
          <w:b/>
          <w:sz w:val="24"/>
          <w:lang w:bidi="ar-SA"/>
        </w:rPr>
        <w:t>Service des Ressources Humaines (SRH)</w:t>
      </w:r>
    </w:p>
    <w:p>
      <w:pPr>
        <w:spacing w:before="120"/>
        <w:rPr>
          <w:rFonts w:eastAsia="Times New Roman" w:cs="Times New Roman"/>
          <w:sz w:val="24"/>
          <w:lang w:bidi="ar-SA"/>
        </w:rPr>
      </w:pPr>
      <w:r>
        <w:rPr>
          <w:rFonts w:eastAsia="Times New Roman" w:cs="Times New Roman"/>
          <w:b/>
          <w:sz w:val="24"/>
          <w:lang w:bidi="ar-SA"/>
        </w:rPr>
        <w:t>Sous-Direction des Politiques Sociales et des Conditions de Travail (SRH3)</w:t>
      </w:r>
    </w:p>
    <w:p>
      <w:pPr>
        <w:suppressAutoHyphens w:val="0"/>
        <w:spacing w:before="120"/>
        <w:rPr>
          <w:rFonts w:eastAsia="Times New Roman" w:cs="Times New Roman"/>
          <w:b/>
          <w:sz w:val="24"/>
          <w:lang w:bidi="ar-SA"/>
        </w:rPr>
      </w:pPr>
      <w:r>
        <w:rPr>
          <w:rFonts w:eastAsia="Times New Roman" w:cs="Times New Roman"/>
          <w:b/>
          <w:sz w:val="24"/>
          <w:lang w:bidi="ar-SA"/>
        </w:rPr>
        <w:t>Bureau des Ressources Internes (SRH3C)</w:t>
      </w:r>
    </w:p>
    <w:p>
      <w:pPr>
        <w:suppressAutoHyphens w:val="0"/>
        <w:spacing w:before="120"/>
        <w:rPr>
          <w:rFonts w:eastAsia="Times New Roman" w:cs="Times New Roman"/>
          <w:b/>
          <w:sz w:val="24"/>
          <w:lang w:bidi="ar-SA"/>
        </w:rPr>
      </w:pPr>
      <w:r>
        <w:rPr>
          <w:rFonts w:eastAsia="Times New Roman" w:cs="Times New Roman"/>
          <w:b/>
          <w:sz w:val="24"/>
          <w:lang w:bidi="ar-SA"/>
        </w:rPr>
        <w:t>Secteur Cadre de Vie Professionnel.</w:t>
      </w:r>
    </w:p>
    <w:p>
      <w:pPr>
        <w:suppressAutoHyphens w:val="0"/>
        <w:spacing w:before="120"/>
        <w:rPr>
          <w:rFonts w:eastAsia="Times New Roman" w:cs="Times New Roman"/>
          <w:b/>
          <w:sz w:val="24"/>
          <w:lang w:bidi="ar-SA"/>
        </w:rPr>
      </w:pPr>
      <w:r>
        <w:rPr>
          <w:rFonts w:eastAsia="Times New Roman" w:cs="Times New Roman"/>
          <w:b/>
          <w:sz w:val="24"/>
          <w:lang w:bidi="ar-SA"/>
        </w:rPr>
        <w:t>5 Place des vins de France – 75012 Paris</w:t>
      </w:r>
    </w:p>
    <w:p>
      <w:pPr>
        <w:pStyle w:val="Normal1"/>
        <w:spacing w:after="0"/>
        <w:rPr>
          <w:color w:val="000000"/>
          <w:spacing w:val="80"/>
        </w:rPr>
      </w:pPr>
    </w:p>
    <w:p>
      <w:pPr>
        <w:pStyle w:val="Normal1"/>
        <w:spacing w:after="0"/>
        <w:jc w:val="center"/>
        <w:rPr>
          <w:color w:val="000000"/>
          <w:spacing w:val="80"/>
        </w:rPr>
      </w:pPr>
    </w:p>
    <w:p>
      <w:pPr>
        <w:pStyle w:val="Normal1"/>
        <w:spacing w:after="0"/>
        <w:jc w:val="center"/>
        <w:rPr>
          <w:color w:val="000000"/>
          <w:spacing w:val="80"/>
        </w:rPr>
      </w:pPr>
    </w:p>
    <w:tbl>
      <w:tblPr>
        <w:tblW w:w="9615" w:type="dxa"/>
        <w:tblInd w:w="4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F2F2F2" w:themeFill="background1" w:themeFillShade="F2"/>
        <w:tblCellMar>
          <w:left w:w="25" w:type="dxa"/>
          <w:right w:w="70" w:type="dxa"/>
        </w:tblCellMar>
        <w:tblLook w:val="04A0" w:firstRow="1" w:lastRow="0" w:firstColumn="1" w:lastColumn="0" w:noHBand="0" w:noVBand="1"/>
      </w:tblPr>
      <w:tblGrid>
        <w:gridCol w:w="9615"/>
      </w:tblGrid>
      <w:tr>
        <w:tc>
          <w:tcPr>
            <w:tcW w:w="9615"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tcMar>
              <w:left w:w="25" w:type="dxa"/>
            </w:tcMar>
          </w:tcPr>
          <w:p>
            <w:pPr>
              <w:spacing w:before="40" w:after="40"/>
              <w:ind w:right="113"/>
              <w:jc w:val="center"/>
              <w:rPr>
                <w:rFonts w:eastAsia="Times New Roman" w:cs="Times New Roman"/>
                <w:b/>
                <w:color w:val="000000"/>
                <w:spacing w:val="4"/>
                <w:sz w:val="24"/>
                <w:lang w:bidi="ar-SA"/>
              </w:rPr>
            </w:pPr>
          </w:p>
          <w:p>
            <w:pPr>
              <w:spacing w:before="40" w:after="40"/>
              <w:ind w:right="113"/>
              <w:jc w:val="center"/>
              <w:rPr>
                <w:rFonts w:eastAsia="Times New Roman" w:cs="Times New Roman"/>
                <w:b/>
                <w:color w:val="000000"/>
                <w:spacing w:val="4"/>
                <w:sz w:val="24"/>
                <w:lang w:bidi="ar-SA"/>
              </w:rPr>
            </w:pPr>
            <w:r>
              <w:rPr>
                <w:rFonts w:eastAsia="Times New Roman" w:cs="Times New Roman"/>
                <w:b/>
                <w:color w:val="000000"/>
                <w:spacing w:val="4"/>
                <w:sz w:val="24"/>
                <w:lang w:bidi="ar-SA"/>
              </w:rPr>
              <w:t>MARCHÉ RELATIF à l’achat de matériels de restauration collective</w:t>
            </w:r>
          </w:p>
          <w:p>
            <w:pPr>
              <w:pStyle w:val="Normal1"/>
              <w:spacing w:before="40" w:after="40"/>
              <w:ind w:left="113" w:right="113"/>
              <w:jc w:val="center"/>
              <w:rPr>
                <w:b/>
                <w:color w:val="000000"/>
                <w:spacing w:val="4"/>
              </w:rPr>
            </w:pPr>
          </w:p>
          <w:p>
            <w:pPr>
              <w:pStyle w:val="Normal1"/>
              <w:spacing w:before="40" w:after="40"/>
              <w:ind w:left="113" w:right="113"/>
              <w:jc w:val="center"/>
              <w:rPr>
                <w:b/>
                <w:color w:val="000000"/>
                <w:spacing w:val="4"/>
              </w:rPr>
            </w:pPr>
            <w:r>
              <w:rPr>
                <w:b/>
                <w:color w:val="000000"/>
                <w:spacing w:val="4"/>
              </w:rPr>
              <w:t>Pour le restaurant administratif de l’ASFR VINCENNES</w:t>
            </w:r>
          </w:p>
          <w:p>
            <w:pPr>
              <w:pStyle w:val="Normal1"/>
              <w:spacing w:before="0" w:after="0" w:line="360" w:lineRule="auto"/>
              <w:ind w:left="113" w:right="113"/>
              <w:jc w:val="center"/>
              <w:rPr>
                <w:b/>
                <w:bCs/>
                <w:color w:val="000000"/>
                <w:spacing w:val="4"/>
              </w:rPr>
            </w:pPr>
          </w:p>
          <w:p>
            <w:pPr>
              <w:pStyle w:val="Normal1"/>
              <w:spacing w:before="0" w:after="0" w:line="360" w:lineRule="auto"/>
              <w:ind w:left="113" w:right="113"/>
              <w:jc w:val="center"/>
              <w:rPr>
                <w:b/>
                <w:bCs/>
                <w:color w:val="000000"/>
                <w:spacing w:val="4"/>
              </w:rPr>
            </w:pPr>
            <w:r>
              <w:rPr>
                <w:b/>
                <w:bCs/>
                <w:color w:val="000000"/>
                <w:spacing w:val="4"/>
              </w:rPr>
              <w:t>CAHIER DES CLAUSES ADMINISTRATIVES PARTICULIERES (CCAP)</w:t>
            </w:r>
          </w:p>
          <w:p>
            <w:pPr>
              <w:pStyle w:val="Normal1"/>
              <w:spacing w:before="0" w:after="0" w:line="360" w:lineRule="auto"/>
              <w:ind w:left="113" w:right="113"/>
              <w:jc w:val="center"/>
              <w:rPr>
                <w:b/>
                <w:bCs/>
                <w:color w:val="000000"/>
                <w:spacing w:val="4"/>
              </w:rPr>
            </w:pPr>
          </w:p>
        </w:tc>
      </w:tr>
    </w:tbl>
    <w:p>
      <w:pPr>
        <w:pStyle w:val="Normal1"/>
        <w:pBdr>
          <w:bottom w:val="single" w:sz="4" w:space="1" w:color="000001"/>
        </w:pBdr>
        <w:spacing w:after="0"/>
        <w:jc w:val="center"/>
        <w:rPr>
          <w:color w:val="000000"/>
        </w:rPr>
      </w:pPr>
    </w:p>
    <w:p>
      <w:pPr>
        <w:pStyle w:val="Normal1"/>
        <w:pBdr>
          <w:bottom w:val="single" w:sz="4" w:space="1" w:color="000001"/>
        </w:pBdr>
        <w:spacing w:after="0"/>
        <w:jc w:val="center"/>
        <w:rPr>
          <w:color w:val="000000"/>
        </w:rPr>
      </w:pPr>
    </w:p>
    <w:p>
      <w:pPr>
        <w:pStyle w:val="Normal1"/>
        <w:pBdr>
          <w:bottom w:val="single" w:sz="4" w:space="1" w:color="000001"/>
        </w:pBdr>
        <w:spacing w:after="0"/>
        <w:jc w:val="center"/>
        <w:rPr>
          <w:color w:val="000000"/>
        </w:rPr>
      </w:pPr>
    </w:p>
    <w:p>
      <w:pPr>
        <w:pStyle w:val="Normal1"/>
        <w:pBdr>
          <w:bottom w:val="single" w:sz="4" w:space="1" w:color="000001"/>
        </w:pBdr>
        <w:spacing w:after="0"/>
        <w:jc w:val="center"/>
        <w:rPr>
          <w:color w:val="000000"/>
        </w:rPr>
      </w:pPr>
    </w:p>
    <w:p>
      <w:pPr>
        <w:pStyle w:val="Normal1"/>
        <w:pBdr>
          <w:bottom w:val="single" w:sz="4" w:space="1" w:color="000001"/>
        </w:pBdr>
        <w:spacing w:after="0"/>
        <w:jc w:val="center"/>
        <w:rPr>
          <w:color w:val="000000"/>
        </w:rPr>
      </w:pPr>
    </w:p>
    <w:p>
      <w:pPr>
        <w:pStyle w:val="Normal1"/>
        <w:pBdr>
          <w:bottom w:val="single" w:sz="4" w:space="1" w:color="000001"/>
        </w:pBdr>
        <w:spacing w:after="0"/>
        <w:jc w:val="center"/>
        <w:rPr>
          <w:color w:val="000000"/>
        </w:rPr>
      </w:pPr>
    </w:p>
    <w:p>
      <w:pPr>
        <w:pStyle w:val="Normal1"/>
        <w:pBdr>
          <w:bottom w:val="single" w:sz="4" w:space="1" w:color="000001"/>
        </w:pBdr>
        <w:spacing w:after="0"/>
        <w:rPr>
          <w:b/>
          <w:bCs/>
        </w:rPr>
      </w:pPr>
      <w:r>
        <w:t>Numéro de consultation </w:t>
      </w:r>
      <w:r>
        <w:tab/>
      </w:r>
      <w:r>
        <w:tab/>
      </w:r>
      <w:r>
        <w:tab/>
        <w:t xml:space="preserve">: </w:t>
      </w:r>
      <w:r>
        <w:rPr>
          <w:b/>
          <w:bCs/>
        </w:rPr>
        <w:t>SRH3C-2025-02-Matériels de restauration</w:t>
      </w:r>
    </w:p>
    <w:p>
      <w:pPr>
        <w:pStyle w:val="Normal1"/>
        <w:pBdr>
          <w:bottom w:val="single" w:sz="4" w:space="1" w:color="000001"/>
        </w:pBdr>
        <w:spacing w:after="0"/>
      </w:pPr>
      <w:r>
        <w:t>Procédure de passation </w:t>
      </w:r>
      <w:r>
        <w:tab/>
      </w:r>
      <w:r>
        <w:tab/>
      </w:r>
      <w:r>
        <w:tab/>
        <w:t>: P</w:t>
      </w:r>
      <w:r>
        <w:rPr>
          <w:b/>
          <w:bCs/>
        </w:rPr>
        <w:t>rocédure adaptée</w:t>
      </w:r>
    </w:p>
    <w:p>
      <w:pPr>
        <w:pStyle w:val="Normal1"/>
        <w:pBdr>
          <w:bottom w:val="single" w:sz="4" w:space="1" w:color="000001"/>
        </w:pBdr>
        <w:spacing w:after="0"/>
      </w:pPr>
      <w:r>
        <w:rPr>
          <w:color w:val="auto"/>
        </w:rPr>
        <w:t>Date et heure limite de réception des plis </w:t>
      </w:r>
      <w:r>
        <w:rPr>
          <w:color w:val="auto"/>
        </w:rPr>
        <w:tab/>
        <w:t xml:space="preserve">: </w:t>
      </w:r>
      <w:r>
        <w:rPr>
          <w:b/>
          <w:bCs/>
          <w:color w:val="auto"/>
        </w:rPr>
        <w:t>25/08/2025 à 16h00</w:t>
      </w:r>
    </w:p>
    <w:p>
      <w:pPr>
        <w:pStyle w:val="Normal1"/>
        <w:pBdr>
          <w:bottom w:val="single" w:sz="4" w:space="1" w:color="000001"/>
        </w:pBdr>
        <w:spacing w:after="0"/>
        <w:jc w:val="center"/>
        <w:rPr>
          <w:color w:val="000000"/>
        </w:rPr>
      </w:pPr>
    </w:p>
    <w:p>
      <w:pPr>
        <w:pStyle w:val="Normal1"/>
        <w:pBdr>
          <w:bottom w:val="single" w:sz="4" w:space="1" w:color="000001"/>
        </w:pBdr>
        <w:spacing w:after="0"/>
        <w:jc w:val="center"/>
        <w:rPr>
          <w:color w:val="000000"/>
        </w:rPr>
      </w:pPr>
    </w:p>
    <w:p>
      <w:pPr>
        <w:pStyle w:val="Normal1"/>
        <w:pBdr>
          <w:bottom w:val="single" w:sz="4" w:space="1" w:color="000001"/>
        </w:pBdr>
        <w:spacing w:after="0"/>
        <w:jc w:val="center"/>
        <w:rPr>
          <w:color w:val="000000"/>
        </w:rPr>
      </w:pPr>
    </w:p>
    <w:p>
      <w:pPr>
        <w:pStyle w:val="Normal1"/>
        <w:pBdr>
          <w:bottom w:val="single" w:sz="4" w:space="1" w:color="000001"/>
        </w:pBdr>
        <w:spacing w:after="0"/>
        <w:jc w:val="right"/>
      </w:pPr>
      <w:r>
        <w:rPr>
          <w:color w:val="000000"/>
        </w:rPr>
        <w:t xml:space="preserve">                                     Le présent cahier des clauses particulières comporte 8 pages et 1 annexe</w:t>
      </w:r>
    </w:p>
    <w:p>
      <w:pPr>
        <w:pStyle w:val="Normal1"/>
        <w:jc w:val="center"/>
        <w:rPr>
          <w:b/>
          <w:bCs/>
          <w:color w:val="000000"/>
        </w:rPr>
      </w:pPr>
    </w:p>
    <w:p>
      <w:pPr>
        <w:pStyle w:val="Normal1"/>
        <w:jc w:val="center"/>
        <w:rPr>
          <w:b/>
          <w:bCs/>
          <w:color w:val="000000"/>
        </w:rPr>
      </w:pPr>
    </w:p>
    <w:p>
      <w:pPr>
        <w:pStyle w:val="Normal1"/>
        <w:jc w:val="center"/>
        <w:rPr>
          <w:b/>
          <w:bCs/>
          <w:color w:val="000000"/>
          <w:sz w:val="36"/>
          <w:szCs w:val="36"/>
        </w:rPr>
      </w:pPr>
      <w:r>
        <w:rPr>
          <w:b/>
          <w:bCs/>
          <w:color w:val="000000"/>
          <w:sz w:val="36"/>
          <w:szCs w:val="36"/>
        </w:rPr>
        <w:t>TABLE DES MATIÈRES</w:t>
      </w:r>
    </w:p>
    <w:p>
      <w:pPr>
        <w:pStyle w:val="Tabledesmatiresniveau1"/>
        <w:rPr>
          <w:szCs w:val="24"/>
        </w:rPr>
      </w:pPr>
    </w:p>
    <w:p>
      <w:pPr>
        <w:pStyle w:val="Normal1"/>
      </w:pPr>
    </w:p>
    <w:p>
      <w:pPr>
        <w:pStyle w:val="TM1"/>
        <w:tabs>
          <w:tab w:val="right" w:leader="dot" w:pos="9528"/>
        </w:tabs>
        <w:rPr>
          <w:rFonts w:asciiTheme="minorHAnsi" w:eastAsiaTheme="minorEastAsia" w:hAnsiTheme="minorHAnsi" w:cstheme="minorBidi"/>
          <w:noProof/>
          <w:color w:val="auto"/>
          <w:sz w:val="22"/>
          <w:szCs w:val="22"/>
          <w:lang w:eastAsia="fr-FR" w:bidi="ar-SA"/>
        </w:rPr>
      </w:pPr>
      <w:r>
        <w:fldChar w:fldCharType="begin"/>
      </w:r>
      <w:r>
        <w:instrText>TOC \o "1-3" \h</w:instrText>
      </w:r>
      <w:r>
        <w:fldChar w:fldCharType="separate"/>
      </w:r>
      <w:hyperlink w:anchor="_Toc201052719" w:history="1">
        <w:r>
          <w:rPr>
            <w:rStyle w:val="Lienhypertexte"/>
            <w:rFonts w:cs="Times New Roman"/>
            <w:noProof/>
          </w:rPr>
          <w:t>A</w:t>
        </w:r>
        <w:r>
          <w:rPr>
            <w:rStyle w:val="Lienhypertexte"/>
            <w:rFonts w:ascii="Times New Roman Gras" w:hAnsi="Times New Roman Gras" w:cs="Times New Roman"/>
            <w:noProof/>
          </w:rPr>
          <w:t xml:space="preserve"> </w:t>
        </w:r>
        <w:r>
          <w:rPr>
            <w:rStyle w:val="Lienhypertexte"/>
            <w:rFonts w:cs="Times New Roman"/>
            <w:noProof/>
          </w:rPr>
          <w:t xml:space="preserve">: </w:t>
        </w:r>
        <w:r>
          <w:rPr>
            <w:rStyle w:val="Lienhypertexte"/>
            <w:rFonts w:cs="Times New Roman"/>
            <w:smallCaps/>
            <w:noProof/>
          </w:rPr>
          <w:t>Maitre de l’ouvrage</w:t>
        </w:r>
        <w:r>
          <w:rPr>
            <w:noProof/>
          </w:rPr>
          <w:tab/>
        </w:r>
        <w:r>
          <w:rPr>
            <w:noProof/>
          </w:rPr>
          <w:fldChar w:fldCharType="begin"/>
        </w:r>
        <w:r>
          <w:rPr>
            <w:noProof/>
          </w:rPr>
          <w:instrText xml:space="preserve"> PAGEREF _Toc201052719 \h </w:instrText>
        </w:r>
        <w:r>
          <w:rPr>
            <w:noProof/>
          </w:rPr>
        </w:r>
        <w:r>
          <w:rPr>
            <w:noProof/>
          </w:rPr>
          <w:fldChar w:fldCharType="separate"/>
        </w:r>
        <w:r>
          <w:rPr>
            <w:noProof/>
          </w:rPr>
          <w:t>3</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20" w:history="1">
        <w:r>
          <w:rPr>
            <w:rStyle w:val="Lienhypertexte"/>
            <w:rFonts w:cs="Times New Roman"/>
            <w:noProof/>
          </w:rPr>
          <w:t xml:space="preserve">B : </w:t>
        </w:r>
        <w:r>
          <w:rPr>
            <w:rStyle w:val="Lienhypertexte"/>
            <w:rFonts w:cs="Times New Roman"/>
            <w:smallCaps/>
            <w:noProof/>
          </w:rPr>
          <w:t>objet du marché</w:t>
        </w:r>
        <w:r>
          <w:rPr>
            <w:noProof/>
          </w:rPr>
          <w:tab/>
        </w:r>
        <w:r>
          <w:rPr>
            <w:noProof/>
          </w:rPr>
          <w:fldChar w:fldCharType="begin"/>
        </w:r>
        <w:r>
          <w:rPr>
            <w:noProof/>
          </w:rPr>
          <w:instrText xml:space="preserve"> PAGEREF _Toc201052720 \h </w:instrText>
        </w:r>
        <w:r>
          <w:rPr>
            <w:noProof/>
          </w:rPr>
        </w:r>
        <w:r>
          <w:rPr>
            <w:noProof/>
          </w:rPr>
          <w:fldChar w:fldCharType="separate"/>
        </w:r>
        <w:r>
          <w:rPr>
            <w:noProof/>
          </w:rPr>
          <w:t>3</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21" w:history="1">
        <w:r>
          <w:rPr>
            <w:rStyle w:val="Lienhypertexte"/>
            <w:rFonts w:cs="Times New Roman"/>
            <w:noProof/>
          </w:rPr>
          <w:t xml:space="preserve">C: </w:t>
        </w:r>
        <w:r>
          <w:rPr>
            <w:rStyle w:val="Lienhypertexte"/>
            <w:rFonts w:cs="Times New Roman"/>
            <w:smallCaps/>
            <w:noProof/>
          </w:rPr>
          <w:t>procédure et forme du marché</w:t>
        </w:r>
        <w:r>
          <w:rPr>
            <w:noProof/>
          </w:rPr>
          <w:tab/>
        </w:r>
        <w:r>
          <w:rPr>
            <w:noProof/>
          </w:rPr>
          <w:fldChar w:fldCharType="begin"/>
        </w:r>
        <w:r>
          <w:rPr>
            <w:noProof/>
          </w:rPr>
          <w:instrText xml:space="preserve"> PAGEREF _Toc201052721 \h </w:instrText>
        </w:r>
        <w:r>
          <w:rPr>
            <w:noProof/>
          </w:rPr>
        </w:r>
        <w:r>
          <w:rPr>
            <w:noProof/>
          </w:rPr>
          <w:fldChar w:fldCharType="separate"/>
        </w:r>
        <w:r>
          <w:rPr>
            <w:noProof/>
          </w:rPr>
          <w:t>3</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22" w:history="1">
        <w:r>
          <w:rPr>
            <w:rStyle w:val="Lienhypertexte"/>
            <w:rFonts w:cs="Times New Roman"/>
            <w:noProof/>
          </w:rPr>
          <w:t xml:space="preserve">D : </w:t>
        </w:r>
        <w:r>
          <w:rPr>
            <w:rStyle w:val="Lienhypertexte"/>
            <w:rFonts w:cs="Times New Roman"/>
            <w:smallCaps/>
            <w:noProof/>
          </w:rPr>
          <w:t>groupement et sous-traitance</w:t>
        </w:r>
        <w:r>
          <w:rPr>
            <w:noProof/>
          </w:rPr>
          <w:tab/>
        </w:r>
        <w:r>
          <w:rPr>
            <w:noProof/>
          </w:rPr>
          <w:fldChar w:fldCharType="begin"/>
        </w:r>
        <w:r>
          <w:rPr>
            <w:noProof/>
          </w:rPr>
          <w:instrText xml:space="preserve"> PAGEREF _Toc201052722 \h </w:instrText>
        </w:r>
        <w:r>
          <w:rPr>
            <w:noProof/>
          </w:rPr>
        </w:r>
        <w:r>
          <w:rPr>
            <w:noProof/>
          </w:rPr>
          <w:fldChar w:fldCharType="separate"/>
        </w:r>
        <w:r>
          <w:rPr>
            <w:noProof/>
          </w:rPr>
          <w:t>3</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23" w:history="1">
        <w:r>
          <w:rPr>
            <w:rStyle w:val="Lienhypertexte"/>
            <w:rFonts w:cs="Times New Roman"/>
            <w:noProof/>
          </w:rPr>
          <w:t xml:space="preserve">E : </w:t>
        </w:r>
        <w:r>
          <w:rPr>
            <w:rStyle w:val="Lienhypertexte"/>
            <w:rFonts w:cs="Times New Roman"/>
            <w:smallCaps/>
            <w:noProof/>
          </w:rPr>
          <w:t>durée et modalités d’exécution du marché</w:t>
        </w:r>
        <w:r>
          <w:rPr>
            <w:noProof/>
          </w:rPr>
          <w:tab/>
        </w:r>
        <w:r>
          <w:rPr>
            <w:noProof/>
          </w:rPr>
          <w:fldChar w:fldCharType="begin"/>
        </w:r>
        <w:r>
          <w:rPr>
            <w:noProof/>
          </w:rPr>
          <w:instrText xml:space="preserve"> PAGEREF _Toc201052723 \h </w:instrText>
        </w:r>
        <w:r>
          <w:rPr>
            <w:noProof/>
          </w:rPr>
        </w:r>
        <w:r>
          <w:rPr>
            <w:noProof/>
          </w:rPr>
          <w:fldChar w:fldCharType="separate"/>
        </w:r>
        <w:r>
          <w:rPr>
            <w:noProof/>
          </w:rPr>
          <w:t>4</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24" w:history="1">
        <w:r>
          <w:rPr>
            <w:rStyle w:val="Lienhypertexte"/>
            <w:rFonts w:cs="Times New Roman"/>
            <w:noProof/>
          </w:rPr>
          <w:t xml:space="preserve">F : </w:t>
        </w:r>
        <w:r>
          <w:rPr>
            <w:rStyle w:val="Lienhypertexte"/>
            <w:rFonts w:cs="Times New Roman"/>
            <w:smallCaps/>
            <w:noProof/>
          </w:rPr>
          <w:t>contenu des prestations</w:t>
        </w:r>
        <w:r>
          <w:rPr>
            <w:noProof/>
          </w:rPr>
          <w:tab/>
        </w:r>
        <w:r>
          <w:rPr>
            <w:noProof/>
          </w:rPr>
          <w:fldChar w:fldCharType="begin"/>
        </w:r>
        <w:r>
          <w:rPr>
            <w:noProof/>
          </w:rPr>
          <w:instrText xml:space="preserve"> PAGEREF _Toc201052724 \h </w:instrText>
        </w:r>
        <w:r>
          <w:rPr>
            <w:noProof/>
          </w:rPr>
        </w:r>
        <w:r>
          <w:rPr>
            <w:noProof/>
          </w:rPr>
          <w:fldChar w:fldCharType="separate"/>
        </w:r>
        <w:r>
          <w:rPr>
            <w:noProof/>
          </w:rPr>
          <w:t>4</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25" w:history="1">
        <w:r>
          <w:rPr>
            <w:rStyle w:val="Lienhypertexte"/>
            <w:rFonts w:cs="Times New Roman"/>
            <w:noProof/>
          </w:rPr>
          <w:t xml:space="preserve">G : </w:t>
        </w:r>
        <w:r>
          <w:rPr>
            <w:rStyle w:val="Lienhypertexte"/>
            <w:rFonts w:cs="Times New Roman"/>
            <w:smallCaps/>
            <w:noProof/>
          </w:rPr>
          <w:t>pièces contractuelles du marché</w:t>
        </w:r>
        <w:r>
          <w:rPr>
            <w:noProof/>
          </w:rPr>
          <w:tab/>
        </w:r>
        <w:r>
          <w:rPr>
            <w:noProof/>
          </w:rPr>
          <w:fldChar w:fldCharType="begin"/>
        </w:r>
        <w:r>
          <w:rPr>
            <w:noProof/>
          </w:rPr>
          <w:instrText xml:space="preserve"> PAGEREF _Toc201052725 \h </w:instrText>
        </w:r>
        <w:r>
          <w:rPr>
            <w:noProof/>
          </w:rPr>
        </w:r>
        <w:r>
          <w:rPr>
            <w:noProof/>
          </w:rPr>
          <w:fldChar w:fldCharType="separate"/>
        </w:r>
        <w:r>
          <w:rPr>
            <w:noProof/>
          </w:rPr>
          <w:t>4</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26" w:history="1">
        <w:r>
          <w:rPr>
            <w:rStyle w:val="Lienhypertexte"/>
            <w:rFonts w:cs="Times New Roman"/>
            <w:noProof/>
          </w:rPr>
          <w:t xml:space="preserve">H : </w:t>
        </w:r>
        <w:r>
          <w:rPr>
            <w:rStyle w:val="Lienhypertexte"/>
            <w:rFonts w:cs="Times New Roman"/>
            <w:smallCaps/>
            <w:noProof/>
          </w:rPr>
          <w:t>modalités de prix</w:t>
        </w:r>
        <w:r>
          <w:rPr>
            <w:noProof/>
          </w:rPr>
          <w:tab/>
        </w:r>
        <w:r>
          <w:rPr>
            <w:noProof/>
          </w:rPr>
          <w:fldChar w:fldCharType="begin"/>
        </w:r>
        <w:r>
          <w:rPr>
            <w:noProof/>
          </w:rPr>
          <w:instrText xml:space="preserve"> PAGEREF _Toc201052726 \h </w:instrText>
        </w:r>
        <w:r>
          <w:rPr>
            <w:noProof/>
          </w:rPr>
        </w:r>
        <w:r>
          <w:rPr>
            <w:noProof/>
          </w:rPr>
          <w:fldChar w:fldCharType="separate"/>
        </w:r>
        <w:r>
          <w:rPr>
            <w:noProof/>
          </w:rPr>
          <w:t>4</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27" w:history="1">
        <w:r>
          <w:rPr>
            <w:rStyle w:val="Lienhypertexte"/>
            <w:rFonts w:cs="Times New Roman"/>
            <w:noProof/>
          </w:rPr>
          <w:t xml:space="preserve">I : </w:t>
        </w:r>
        <w:r>
          <w:rPr>
            <w:rStyle w:val="Lienhypertexte"/>
            <w:rFonts w:cs="Times New Roman"/>
            <w:smallCaps/>
            <w:noProof/>
          </w:rPr>
          <w:t>Modalités de paiement</w:t>
        </w:r>
        <w:r>
          <w:rPr>
            <w:noProof/>
          </w:rPr>
          <w:tab/>
        </w:r>
        <w:r>
          <w:rPr>
            <w:noProof/>
          </w:rPr>
          <w:fldChar w:fldCharType="begin"/>
        </w:r>
        <w:r>
          <w:rPr>
            <w:noProof/>
          </w:rPr>
          <w:instrText xml:space="preserve"> PAGEREF _Toc201052727 \h </w:instrText>
        </w:r>
        <w:r>
          <w:rPr>
            <w:noProof/>
          </w:rPr>
        </w:r>
        <w:r>
          <w:rPr>
            <w:noProof/>
          </w:rPr>
          <w:fldChar w:fldCharType="separate"/>
        </w:r>
        <w:r>
          <w:rPr>
            <w:noProof/>
          </w:rPr>
          <w:t>5</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28" w:history="1">
        <w:r>
          <w:rPr>
            <w:rStyle w:val="Lienhypertexte"/>
            <w:rFonts w:cs="Times New Roman"/>
            <w:noProof/>
          </w:rPr>
          <w:t xml:space="preserve">J : </w:t>
        </w:r>
        <w:r>
          <w:rPr>
            <w:rStyle w:val="Lienhypertexte"/>
            <w:rFonts w:cs="Times New Roman"/>
            <w:smallCaps/>
            <w:noProof/>
          </w:rPr>
          <w:t>modalités de facturation</w:t>
        </w:r>
        <w:r>
          <w:rPr>
            <w:noProof/>
          </w:rPr>
          <w:tab/>
        </w:r>
        <w:r>
          <w:rPr>
            <w:noProof/>
          </w:rPr>
          <w:fldChar w:fldCharType="begin"/>
        </w:r>
        <w:r>
          <w:rPr>
            <w:noProof/>
          </w:rPr>
          <w:instrText xml:space="preserve"> PAGEREF _Toc201052728 \h </w:instrText>
        </w:r>
        <w:r>
          <w:rPr>
            <w:noProof/>
          </w:rPr>
        </w:r>
        <w:r>
          <w:rPr>
            <w:noProof/>
          </w:rPr>
          <w:fldChar w:fldCharType="separate"/>
        </w:r>
        <w:r>
          <w:rPr>
            <w:noProof/>
          </w:rPr>
          <w:t>5</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29" w:history="1">
        <w:r>
          <w:rPr>
            <w:rStyle w:val="Lienhypertexte"/>
            <w:rFonts w:cs="Times New Roman"/>
            <w:noProof/>
          </w:rPr>
          <w:t xml:space="preserve">K : </w:t>
        </w:r>
        <w:r>
          <w:rPr>
            <w:rStyle w:val="Lienhypertexte"/>
            <w:rFonts w:cs="Times New Roman"/>
            <w:smallCaps/>
            <w:noProof/>
          </w:rPr>
          <w:t>comptable assignataire et imputation comptable</w:t>
        </w:r>
        <w:r>
          <w:rPr>
            <w:noProof/>
          </w:rPr>
          <w:tab/>
        </w:r>
        <w:r>
          <w:rPr>
            <w:noProof/>
          </w:rPr>
          <w:fldChar w:fldCharType="begin"/>
        </w:r>
        <w:r>
          <w:rPr>
            <w:noProof/>
          </w:rPr>
          <w:instrText xml:space="preserve"> PAGEREF _Toc201052729 \h </w:instrText>
        </w:r>
        <w:r>
          <w:rPr>
            <w:noProof/>
          </w:rPr>
        </w:r>
        <w:r>
          <w:rPr>
            <w:noProof/>
          </w:rPr>
          <w:fldChar w:fldCharType="separate"/>
        </w:r>
        <w:r>
          <w:rPr>
            <w:noProof/>
          </w:rPr>
          <w:t>6</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30" w:history="1">
        <w:r>
          <w:rPr>
            <w:rStyle w:val="Lienhypertexte"/>
            <w:rFonts w:cs="Times New Roman"/>
            <w:noProof/>
          </w:rPr>
          <w:t xml:space="preserve">L : </w:t>
        </w:r>
        <w:r>
          <w:rPr>
            <w:rStyle w:val="Lienhypertexte"/>
            <w:rFonts w:cs="Times New Roman"/>
            <w:smallCaps/>
            <w:noProof/>
          </w:rPr>
          <w:t>pénalités</w:t>
        </w:r>
        <w:r>
          <w:rPr>
            <w:noProof/>
          </w:rPr>
          <w:tab/>
        </w:r>
        <w:r>
          <w:rPr>
            <w:noProof/>
          </w:rPr>
          <w:fldChar w:fldCharType="begin"/>
        </w:r>
        <w:r>
          <w:rPr>
            <w:noProof/>
          </w:rPr>
          <w:instrText xml:space="preserve"> PAGEREF _Toc201052730 \h </w:instrText>
        </w:r>
        <w:r>
          <w:rPr>
            <w:noProof/>
          </w:rPr>
        </w:r>
        <w:r>
          <w:rPr>
            <w:noProof/>
          </w:rPr>
          <w:fldChar w:fldCharType="separate"/>
        </w:r>
        <w:r>
          <w:rPr>
            <w:noProof/>
          </w:rPr>
          <w:t>6</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31" w:history="1">
        <w:r>
          <w:rPr>
            <w:rStyle w:val="Lienhypertexte"/>
            <w:rFonts w:cs="Times New Roman"/>
            <w:noProof/>
          </w:rPr>
          <w:t xml:space="preserve">M : </w:t>
        </w:r>
        <w:r>
          <w:rPr>
            <w:rStyle w:val="Lienhypertexte"/>
            <w:rFonts w:cs="Times New Roman"/>
            <w:smallCaps/>
            <w:noProof/>
          </w:rPr>
          <w:t>langue du marché</w:t>
        </w:r>
        <w:r>
          <w:rPr>
            <w:noProof/>
          </w:rPr>
          <w:tab/>
        </w:r>
        <w:r>
          <w:rPr>
            <w:noProof/>
          </w:rPr>
          <w:fldChar w:fldCharType="begin"/>
        </w:r>
        <w:r>
          <w:rPr>
            <w:noProof/>
          </w:rPr>
          <w:instrText xml:space="preserve"> PAGEREF _Toc201052731 \h </w:instrText>
        </w:r>
        <w:r>
          <w:rPr>
            <w:noProof/>
          </w:rPr>
        </w:r>
        <w:r>
          <w:rPr>
            <w:noProof/>
          </w:rPr>
          <w:fldChar w:fldCharType="separate"/>
        </w:r>
        <w:r>
          <w:rPr>
            <w:noProof/>
          </w:rPr>
          <w:t>6</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32" w:history="1">
        <w:r>
          <w:rPr>
            <w:rStyle w:val="Lienhypertexte"/>
            <w:rFonts w:cs="Times New Roman"/>
            <w:noProof/>
          </w:rPr>
          <w:t>N </w:t>
        </w:r>
        <w:r>
          <w:rPr>
            <w:rStyle w:val="Lienhypertexte"/>
            <w:rFonts w:cs="Times New Roman"/>
            <w:smallCaps/>
            <w:noProof/>
          </w:rPr>
          <w:t>: dérogations aux documents généraux</w:t>
        </w:r>
        <w:r>
          <w:rPr>
            <w:noProof/>
          </w:rPr>
          <w:tab/>
        </w:r>
        <w:r>
          <w:rPr>
            <w:noProof/>
          </w:rPr>
          <w:fldChar w:fldCharType="begin"/>
        </w:r>
        <w:r>
          <w:rPr>
            <w:noProof/>
          </w:rPr>
          <w:instrText xml:space="preserve"> PAGEREF _Toc201052732 \h </w:instrText>
        </w:r>
        <w:r>
          <w:rPr>
            <w:noProof/>
          </w:rPr>
        </w:r>
        <w:r>
          <w:rPr>
            <w:noProof/>
          </w:rPr>
          <w:fldChar w:fldCharType="separate"/>
        </w:r>
        <w:r>
          <w:rPr>
            <w:noProof/>
          </w:rPr>
          <w:t>6</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33" w:history="1">
        <w:r>
          <w:rPr>
            <w:rStyle w:val="Lienhypertexte"/>
            <w:rFonts w:cs="Times New Roman"/>
            <w:noProof/>
          </w:rPr>
          <w:t xml:space="preserve">O : </w:t>
        </w:r>
        <w:r>
          <w:rPr>
            <w:rStyle w:val="Lienhypertexte"/>
            <w:rFonts w:cs="Times New Roman"/>
            <w:smallCaps/>
            <w:noProof/>
          </w:rPr>
          <w:t>documents à fournir</w:t>
        </w:r>
        <w:r>
          <w:rPr>
            <w:noProof/>
          </w:rPr>
          <w:tab/>
        </w:r>
        <w:r>
          <w:rPr>
            <w:noProof/>
          </w:rPr>
          <w:fldChar w:fldCharType="begin"/>
        </w:r>
        <w:r>
          <w:rPr>
            <w:noProof/>
          </w:rPr>
          <w:instrText xml:space="preserve"> PAGEREF _Toc201052733 \h </w:instrText>
        </w:r>
        <w:r>
          <w:rPr>
            <w:noProof/>
          </w:rPr>
        </w:r>
        <w:r>
          <w:rPr>
            <w:noProof/>
          </w:rPr>
          <w:fldChar w:fldCharType="separate"/>
        </w:r>
        <w:r>
          <w:rPr>
            <w:noProof/>
          </w:rPr>
          <w:t>7</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34" w:history="1">
        <w:r>
          <w:rPr>
            <w:rStyle w:val="Lienhypertexte"/>
            <w:rFonts w:cs="Times New Roman"/>
            <w:noProof/>
          </w:rPr>
          <w:t xml:space="preserve">P : </w:t>
        </w:r>
        <w:r>
          <w:rPr>
            <w:rStyle w:val="Lienhypertexte"/>
            <w:rFonts w:cs="Times New Roman"/>
            <w:smallCaps/>
            <w:noProof/>
          </w:rPr>
          <w:t>livraison</w:t>
        </w:r>
        <w:r>
          <w:rPr>
            <w:noProof/>
          </w:rPr>
          <w:tab/>
        </w:r>
        <w:r>
          <w:rPr>
            <w:noProof/>
          </w:rPr>
          <w:fldChar w:fldCharType="begin"/>
        </w:r>
        <w:r>
          <w:rPr>
            <w:noProof/>
          </w:rPr>
          <w:instrText xml:space="preserve"> PAGEREF _Toc201052734 \h </w:instrText>
        </w:r>
        <w:r>
          <w:rPr>
            <w:noProof/>
          </w:rPr>
        </w:r>
        <w:r>
          <w:rPr>
            <w:noProof/>
          </w:rPr>
          <w:fldChar w:fldCharType="separate"/>
        </w:r>
        <w:r>
          <w:rPr>
            <w:noProof/>
          </w:rPr>
          <w:t>7</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35" w:history="1">
        <w:r>
          <w:rPr>
            <w:rStyle w:val="Lienhypertexte"/>
            <w:rFonts w:cs="Times New Roman"/>
            <w:noProof/>
          </w:rPr>
          <w:t xml:space="preserve">Q : </w:t>
        </w:r>
        <w:r>
          <w:rPr>
            <w:rStyle w:val="Lienhypertexte"/>
            <w:rFonts w:cs="Times New Roman"/>
            <w:smallCaps/>
            <w:noProof/>
          </w:rPr>
          <w:t>installation et protection des ouvrages</w:t>
        </w:r>
        <w:r>
          <w:rPr>
            <w:noProof/>
          </w:rPr>
          <w:tab/>
        </w:r>
        <w:r>
          <w:rPr>
            <w:noProof/>
          </w:rPr>
          <w:fldChar w:fldCharType="begin"/>
        </w:r>
        <w:r>
          <w:rPr>
            <w:noProof/>
          </w:rPr>
          <w:instrText xml:space="preserve"> PAGEREF _Toc201052735 \h </w:instrText>
        </w:r>
        <w:r>
          <w:rPr>
            <w:noProof/>
          </w:rPr>
        </w:r>
        <w:r>
          <w:rPr>
            <w:noProof/>
          </w:rPr>
          <w:fldChar w:fldCharType="separate"/>
        </w:r>
        <w:r>
          <w:rPr>
            <w:noProof/>
          </w:rPr>
          <w:t>7</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36" w:history="1">
        <w:r>
          <w:rPr>
            <w:rStyle w:val="Lienhypertexte"/>
            <w:rFonts w:cs="Times New Roman"/>
            <w:noProof/>
          </w:rPr>
          <w:t xml:space="preserve">R : </w:t>
        </w:r>
        <w:r>
          <w:rPr>
            <w:rStyle w:val="Lienhypertexte"/>
            <w:rFonts w:cs="Times New Roman"/>
            <w:smallCaps/>
            <w:noProof/>
          </w:rPr>
          <w:t>vérifications et réception</w:t>
        </w:r>
        <w:r>
          <w:rPr>
            <w:noProof/>
          </w:rPr>
          <w:tab/>
        </w:r>
        <w:r>
          <w:rPr>
            <w:noProof/>
          </w:rPr>
          <w:fldChar w:fldCharType="begin"/>
        </w:r>
        <w:r>
          <w:rPr>
            <w:noProof/>
          </w:rPr>
          <w:instrText xml:space="preserve"> PAGEREF _Toc201052736 \h </w:instrText>
        </w:r>
        <w:r>
          <w:rPr>
            <w:noProof/>
          </w:rPr>
        </w:r>
        <w:r>
          <w:rPr>
            <w:noProof/>
          </w:rPr>
          <w:fldChar w:fldCharType="separate"/>
        </w:r>
        <w:r>
          <w:rPr>
            <w:noProof/>
          </w:rPr>
          <w:t>7</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37" w:history="1">
        <w:r>
          <w:rPr>
            <w:rStyle w:val="Lienhypertexte"/>
            <w:rFonts w:cs="Times New Roman"/>
            <w:noProof/>
          </w:rPr>
          <w:t xml:space="preserve">S : </w:t>
        </w:r>
        <w:r>
          <w:rPr>
            <w:rStyle w:val="Lienhypertexte"/>
            <w:rFonts w:cs="Times New Roman"/>
            <w:smallCaps/>
            <w:noProof/>
          </w:rPr>
          <w:t>formation</w:t>
        </w:r>
        <w:r>
          <w:rPr>
            <w:noProof/>
          </w:rPr>
          <w:tab/>
        </w:r>
        <w:r>
          <w:rPr>
            <w:noProof/>
          </w:rPr>
          <w:fldChar w:fldCharType="begin"/>
        </w:r>
        <w:r>
          <w:rPr>
            <w:noProof/>
          </w:rPr>
          <w:instrText xml:space="preserve"> PAGEREF _Toc201052737 \h </w:instrText>
        </w:r>
        <w:r>
          <w:rPr>
            <w:noProof/>
          </w:rPr>
        </w:r>
        <w:r>
          <w:rPr>
            <w:noProof/>
          </w:rPr>
          <w:fldChar w:fldCharType="separate"/>
        </w:r>
        <w:r>
          <w:rPr>
            <w:noProof/>
          </w:rPr>
          <w:t>8</w:t>
        </w:r>
        <w:r>
          <w:rPr>
            <w:noProof/>
          </w:rPr>
          <w:fldChar w:fldCharType="end"/>
        </w:r>
      </w:hyperlink>
    </w:p>
    <w:p>
      <w:pPr>
        <w:pStyle w:val="TM1"/>
        <w:tabs>
          <w:tab w:val="right" w:leader="dot" w:pos="9528"/>
        </w:tabs>
        <w:rPr>
          <w:rFonts w:asciiTheme="minorHAnsi" w:eastAsiaTheme="minorEastAsia" w:hAnsiTheme="minorHAnsi" w:cstheme="minorBidi"/>
          <w:noProof/>
          <w:color w:val="auto"/>
          <w:sz w:val="22"/>
          <w:szCs w:val="22"/>
          <w:lang w:eastAsia="fr-FR" w:bidi="ar-SA"/>
        </w:rPr>
      </w:pPr>
      <w:hyperlink w:anchor="_Toc201052738" w:history="1">
        <w:r>
          <w:rPr>
            <w:rStyle w:val="Lienhypertexte"/>
            <w:rFonts w:cs="Times New Roman"/>
            <w:noProof/>
            <w:lang w:eastAsia="fr-FR"/>
          </w:rPr>
          <w:t xml:space="preserve">T : </w:t>
        </w:r>
        <w:r>
          <w:rPr>
            <w:rStyle w:val="Lienhypertexte"/>
            <w:rFonts w:cs="Times New Roman"/>
            <w:smallCaps/>
            <w:noProof/>
            <w:lang w:eastAsia="fr-FR"/>
          </w:rPr>
          <w:t>garanties</w:t>
        </w:r>
        <w:r>
          <w:rPr>
            <w:noProof/>
          </w:rPr>
          <w:tab/>
        </w:r>
        <w:r>
          <w:rPr>
            <w:noProof/>
          </w:rPr>
          <w:fldChar w:fldCharType="begin"/>
        </w:r>
        <w:r>
          <w:rPr>
            <w:noProof/>
          </w:rPr>
          <w:instrText xml:space="preserve"> PAGEREF _Toc201052738 \h </w:instrText>
        </w:r>
        <w:r>
          <w:rPr>
            <w:noProof/>
          </w:rPr>
        </w:r>
        <w:r>
          <w:rPr>
            <w:noProof/>
          </w:rPr>
          <w:fldChar w:fldCharType="separate"/>
        </w:r>
        <w:r>
          <w:rPr>
            <w:noProof/>
          </w:rPr>
          <w:t>8</w:t>
        </w:r>
        <w:r>
          <w:rPr>
            <w:noProof/>
          </w:rPr>
          <w:fldChar w:fldCharType="end"/>
        </w:r>
      </w:hyperlink>
    </w:p>
    <w:p>
      <w:pPr>
        <w:pStyle w:val="Tabledesmatiresniveau1"/>
        <w:tabs>
          <w:tab w:val="clear" w:pos="9528"/>
          <w:tab w:val="right" w:leader="dot" w:pos="9538"/>
        </w:tabs>
      </w:pPr>
      <w:r>
        <w:fldChar w:fldCharType="end"/>
      </w:r>
    </w:p>
    <w:p>
      <w:pPr>
        <w:pStyle w:val="Normal1"/>
        <w:spacing w:before="85" w:after="85"/>
        <w:jc w:val="both"/>
        <w:rPr>
          <w:color w:val="000000"/>
        </w:rPr>
      </w:pPr>
    </w:p>
    <w:p>
      <w:pPr>
        <w:pStyle w:val="Normal1"/>
        <w:rPr>
          <w:color w:val="000000"/>
        </w:rPr>
      </w:pPr>
      <w:r>
        <w:br w:type="page"/>
      </w:r>
    </w:p>
    <w:p>
      <w:pPr>
        <w:pStyle w:val="Normal1"/>
      </w:pPr>
      <w:bookmarkStart w:id="0" w:name="_Toc436321865"/>
      <w:bookmarkStart w:id="1" w:name="_Toc436321866"/>
      <w:bookmarkStart w:id="2" w:name="_Toc436321868"/>
      <w:bookmarkEnd w:id="0"/>
      <w:bookmarkEnd w:id="1"/>
    </w:p>
    <w:p>
      <w:pPr>
        <w:pStyle w:val="Titre1"/>
        <w:pBdr>
          <w:top w:val="single" w:sz="2" w:space="4" w:color="000001"/>
          <w:left w:val="single" w:sz="2" w:space="1" w:color="000001"/>
          <w:bottom w:val="single" w:sz="2" w:space="1" w:color="000001"/>
          <w:right w:val="single" w:sz="2" w:space="1" w:color="000001"/>
        </w:pBdr>
        <w:shd w:val="clear" w:color="auto" w:fill="F2F2F2" w:themeFill="background1" w:themeFillShade="F2"/>
        <w:tabs>
          <w:tab w:val="right" w:leader="dot" w:pos="9147"/>
        </w:tabs>
        <w:spacing w:before="0" w:line="360" w:lineRule="auto"/>
        <w:ind w:right="85"/>
        <w:rPr>
          <w:bCs w:val="0"/>
          <w:caps w:val="0"/>
          <w:smallCaps/>
        </w:rPr>
      </w:pPr>
      <w:bookmarkStart w:id="3" w:name="_Toc198540230"/>
      <w:bookmarkStart w:id="4" w:name="_Toc201052719"/>
      <w:r>
        <w:rPr>
          <w:rFonts w:ascii="Times New Roman" w:hAnsi="Times New Roman" w:cs="Times New Roman"/>
          <w:bCs w:val="0"/>
          <w:spacing w:val="0"/>
          <w:sz w:val="24"/>
          <w:szCs w:val="24"/>
        </w:rPr>
        <w:t>A</w:t>
      </w:r>
      <w:r>
        <w:rPr>
          <w:rFonts w:ascii="Times New Roman Gras" w:hAnsi="Times New Roman Gras" w:cs="Times New Roman"/>
          <w:bCs w:val="0"/>
          <w:caps w:val="0"/>
          <w:spacing w:val="0"/>
          <w:sz w:val="24"/>
          <w:szCs w:val="24"/>
        </w:rPr>
        <w:t xml:space="preserve"> </w:t>
      </w:r>
      <w:r>
        <w:rPr>
          <w:rFonts w:ascii="Times New Roman" w:hAnsi="Times New Roman" w:cs="Times New Roman"/>
          <w:bCs w:val="0"/>
          <w:spacing w:val="0"/>
          <w:sz w:val="24"/>
          <w:szCs w:val="24"/>
        </w:rPr>
        <w:t xml:space="preserve">: </w:t>
      </w:r>
      <w:r>
        <w:rPr>
          <w:rFonts w:ascii="Times New Roman" w:hAnsi="Times New Roman" w:cs="Times New Roman"/>
          <w:bCs w:val="0"/>
          <w:caps w:val="0"/>
          <w:smallCaps/>
          <w:spacing w:val="0"/>
          <w:sz w:val="24"/>
          <w:szCs w:val="24"/>
        </w:rPr>
        <w:t>Maitre de l’ouvrage</w:t>
      </w:r>
      <w:bookmarkEnd w:id="3"/>
      <w:bookmarkEnd w:id="4"/>
    </w:p>
    <w:p>
      <w:pPr>
        <w:pStyle w:val="Normal1"/>
        <w:spacing w:before="0" w:after="0"/>
        <w:jc w:val="both"/>
        <w:rPr>
          <w:color w:val="000000"/>
          <w:sz w:val="16"/>
          <w:szCs w:val="16"/>
        </w:rPr>
      </w:pPr>
    </w:p>
    <w:p>
      <w:pPr>
        <w:pStyle w:val="Normal1"/>
        <w:spacing w:before="40" w:after="40"/>
        <w:ind w:right="113"/>
        <w:rPr>
          <w:spacing w:val="4"/>
        </w:rPr>
      </w:pPr>
      <w:r>
        <w:rPr>
          <w:spacing w:val="4"/>
        </w:rPr>
        <w:t>La maîtrise d’ouvrage est assurée par les Ministères Economiques et Financiers</w:t>
      </w:r>
    </w:p>
    <w:p>
      <w:pPr>
        <w:pStyle w:val="western"/>
        <w:spacing w:before="0" w:after="0"/>
      </w:pPr>
      <w:r>
        <w:t>Service des Ressources Humaines (SRH)</w:t>
      </w:r>
    </w:p>
    <w:p>
      <w:pPr>
        <w:pStyle w:val="western"/>
        <w:spacing w:before="0" w:after="0"/>
      </w:pPr>
      <w:r>
        <w:t>Sous-Direction des Politiques Sociales et des Conditions de Travail (SRH3)</w:t>
      </w:r>
    </w:p>
    <w:p>
      <w:pPr>
        <w:pStyle w:val="western"/>
        <w:spacing w:before="0" w:after="0"/>
      </w:pPr>
      <w:r>
        <w:t>Bureau des Ressources Internes (SRH3C) Secteur Cadre de Vie Professionnel</w:t>
      </w:r>
    </w:p>
    <w:p>
      <w:pPr>
        <w:pStyle w:val="western"/>
        <w:spacing w:before="0" w:after="0"/>
      </w:pPr>
      <w:r>
        <w:t>Immeuble ATRIUM, 5, place des Vins de France – 75573 Paris Cedex 12</w:t>
      </w:r>
    </w:p>
    <w:p>
      <w:pPr>
        <w:pStyle w:val="western"/>
        <w:spacing w:before="120" w:after="0"/>
      </w:pPr>
      <w:r>
        <w:t xml:space="preserve">Représentée par Mme </w:t>
      </w:r>
      <w:r>
        <w:rPr>
          <w:spacing w:val="4"/>
        </w:rPr>
        <w:t>Céline BUBENICEK</w:t>
      </w:r>
      <w:r>
        <w:t>, cheffe du bureau SRH3C</w:t>
      </w:r>
    </w:p>
    <w:p>
      <w:pPr>
        <w:tabs>
          <w:tab w:val="left" w:pos="567"/>
          <w:tab w:val="left" w:pos="2552"/>
        </w:tabs>
        <w:rPr>
          <w:rFonts w:cs="Calibri"/>
          <w:sz w:val="24"/>
        </w:rPr>
      </w:pPr>
      <w:r>
        <w:rPr>
          <w:rFonts w:cs="Calibri"/>
          <w:sz w:val="24"/>
        </w:rPr>
        <w:t>Représentée par Mme Brigitte LANON, Cheffe du Secteur cadre de vie professionnel</w:t>
      </w:r>
    </w:p>
    <w:p>
      <w:pPr>
        <w:tabs>
          <w:tab w:val="left" w:pos="567"/>
          <w:tab w:val="left" w:pos="2552"/>
        </w:tabs>
        <w:rPr>
          <w:rFonts w:cs="Calibri"/>
          <w:sz w:val="24"/>
        </w:rPr>
      </w:pPr>
      <w:r>
        <w:rPr>
          <w:rFonts w:cs="Calibri"/>
          <w:sz w:val="24"/>
        </w:rPr>
        <w:t>Tél. : 01 53 44 22 87</w:t>
      </w:r>
    </w:p>
    <w:p>
      <w:pPr>
        <w:tabs>
          <w:tab w:val="left" w:pos="567"/>
          <w:tab w:val="left" w:pos="2552"/>
        </w:tabs>
        <w:rPr>
          <w:rFonts w:cs="Times New Roman"/>
          <w:sz w:val="24"/>
        </w:rPr>
      </w:pPr>
      <w:r>
        <w:rPr>
          <w:rFonts w:cs="Times New Roman"/>
          <w:sz w:val="24"/>
        </w:rPr>
        <w:t xml:space="preserve">Courriel : </w:t>
      </w:r>
      <w:hyperlink r:id="rId9" w:history="1">
        <w:r>
          <w:rPr>
            <w:rStyle w:val="Lienhypertexte"/>
            <w:rFonts w:cs="Times New Roman"/>
            <w:sz w:val="24"/>
          </w:rPr>
          <w:t>brigitte.lanon@finances.gouv.fr</w:t>
        </w:r>
      </w:hyperlink>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tabs>
          <w:tab w:val="right" w:leader="dot" w:pos="9061"/>
        </w:tabs>
        <w:spacing w:before="363" w:after="120"/>
      </w:pPr>
      <w:bookmarkStart w:id="5" w:name="_Toc201052720"/>
      <w:r>
        <w:rPr>
          <w:rFonts w:ascii="Times New Roman" w:hAnsi="Times New Roman" w:cs="Times New Roman"/>
          <w:bCs w:val="0"/>
          <w:spacing w:val="0"/>
          <w:sz w:val="24"/>
          <w:szCs w:val="24"/>
        </w:rPr>
        <w:t>B</w:t>
      </w:r>
      <w:r>
        <w:rPr>
          <w:rFonts w:ascii="Times New Roman" w:hAnsi="Times New Roman" w:cs="Times New Roman"/>
          <w:b w:val="0"/>
          <w:spacing w:val="0"/>
          <w:sz w:val="24"/>
          <w:szCs w:val="24"/>
        </w:rPr>
        <w:t xml:space="preserve"> : </w:t>
      </w:r>
      <w:r>
        <w:rPr>
          <w:rFonts w:ascii="Times New Roman" w:hAnsi="Times New Roman" w:cs="Times New Roman"/>
          <w:caps w:val="0"/>
          <w:smallCaps/>
          <w:color w:val="000000"/>
          <w:sz w:val="24"/>
          <w:szCs w:val="24"/>
        </w:rPr>
        <w:t>objet du marc</w:t>
      </w:r>
      <w:bookmarkEnd w:id="2"/>
      <w:r>
        <w:rPr>
          <w:rFonts w:ascii="Times New Roman" w:hAnsi="Times New Roman" w:cs="Times New Roman"/>
          <w:caps w:val="0"/>
          <w:smallCaps/>
          <w:color w:val="000000"/>
          <w:sz w:val="24"/>
          <w:szCs w:val="24"/>
        </w:rPr>
        <w:t>hé</w:t>
      </w:r>
      <w:bookmarkEnd w:id="5"/>
    </w:p>
    <w:p>
      <w:pPr>
        <w:pStyle w:val="Normal1"/>
        <w:spacing w:before="85" w:after="85"/>
        <w:jc w:val="both"/>
        <w:rPr>
          <w:color w:val="000000"/>
          <w:sz w:val="16"/>
          <w:szCs w:val="16"/>
        </w:rPr>
      </w:pPr>
    </w:p>
    <w:p>
      <w:pPr>
        <w:pStyle w:val="Normal1"/>
        <w:spacing w:before="40" w:after="40"/>
        <w:ind w:left="113" w:right="113"/>
        <w:jc w:val="both"/>
        <w:rPr>
          <w:spacing w:val="4"/>
        </w:rPr>
      </w:pPr>
      <w:bookmarkStart w:id="6" w:name="_Toc436321869"/>
      <w:bookmarkStart w:id="7" w:name="_Hlk157491905"/>
      <w:bookmarkEnd w:id="6"/>
      <w:r>
        <w:rPr>
          <w:spacing w:val="4"/>
        </w:rPr>
        <w:t xml:space="preserve">Le marché a pour objet l’achat, l’installation, la mise en service de mobiliers neufs de distribution et l’enlèvement de l’ancien mobilier pour le restaurant administratif </w:t>
      </w:r>
      <w:bookmarkEnd w:id="7"/>
      <w:r>
        <w:rPr>
          <w:spacing w:val="4"/>
        </w:rPr>
        <w:t>suivant :</w:t>
      </w:r>
    </w:p>
    <w:p>
      <w:pPr>
        <w:pStyle w:val="Normal1"/>
        <w:numPr>
          <w:ilvl w:val="0"/>
          <w:numId w:val="12"/>
        </w:numPr>
        <w:spacing w:before="40" w:after="40"/>
        <w:ind w:right="113"/>
        <w:jc w:val="both"/>
        <w:rPr>
          <w:color w:val="000000"/>
          <w:spacing w:val="4"/>
        </w:rPr>
      </w:pPr>
      <w:r>
        <w:rPr>
          <w:spacing w:val="4"/>
        </w:rPr>
        <w:t>Restaurant ASFR VINCENNES, situé au 5 allée Georges Pompidou – 94300 VINCENNES</w:t>
      </w:r>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tabs>
          <w:tab w:val="right" w:leader="dot" w:pos="9061"/>
        </w:tabs>
        <w:spacing w:before="363" w:after="120"/>
      </w:pPr>
      <w:bookmarkStart w:id="8" w:name="_Toc201052721"/>
      <w:r>
        <w:rPr>
          <w:rFonts w:ascii="Times New Roman" w:hAnsi="Times New Roman" w:cs="Times New Roman"/>
          <w:color w:val="000000"/>
          <w:sz w:val="24"/>
          <w:szCs w:val="24"/>
        </w:rPr>
        <w:t xml:space="preserve">C : </w:t>
      </w:r>
      <w:r>
        <w:rPr>
          <w:rFonts w:ascii="Times New Roman" w:hAnsi="Times New Roman" w:cs="Times New Roman"/>
          <w:caps w:val="0"/>
          <w:smallCaps/>
          <w:color w:val="000000"/>
          <w:sz w:val="24"/>
          <w:szCs w:val="24"/>
        </w:rPr>
        <w:t>procédure et forme du marché</w:t>
      </w:r>
      <w:bookmarkEnd w:id="8"/>
    </w:p>
    <w:p>
      <w:pPr>
        <w:pStyle w:val="Normal1"/>
        <w:spacing w:before="85" w:after="85"/>
        <w:jc w:val="both"/>
        <w:rPr>
          <w:color w:val="000000"/>
          <w:sz w:val="16"/>
          <w:szCs w:val="16"/>
        </w:rPr>
      </w:pPr>
    </w:p>
    <w:p>
      <w:pPr>
        <w:pStyle w:val="Normal1"/>
        <w:spacing w:before="85" w:after="85"/>
        <w:jc w:val="both"/>
        <w:rPr>
          <w:strike/>
        </w:rPr>
      </w:pPr>
      <w:r>
        <w:rPr>
          <w:color w:val="000000"/>
        </w:rPr>
        <w:t xml:space="preserve">Le marché est passé selon la procédure adaptée prévue </w:t>
      </w:r>
      <w:r>
        <w:rPr>
          <w:color w:val="auto"/>
        </w:rPr>
        <w:t>aux articles R.2123-4, R.2123-5 et R.2123-6 du décret n° 2018-1075 du 3 décembre 2018 du code de la commande publique.</w:t>
      </w:r>
    </w:p>
    <w:p>
      <w:pPr>
        <w:pStyle w:val="Normal1"/>
        <w:spacing w:before="40" w:after="40"/>
        <w:ind w:right="113"/>
        <w:jc w:val="both"/>
        <w:rPr>
          <w:spacing w:val="4"/>
        </w:rPr>
      </w:pPr>
      <w:bookmarkStart w:id="9" w:name="_Toc436321870"/>
      <w:bookmarkEnd w:id="9"/>
      <w:r>
        <w:rPr>
          <w:spacing w:val="4"/>
        </w:rPr>
        <w:t>Le marché comporte un lot unique.</w:t>
      </w:r>
    </w:p>
    <w:p>
      <w:pPr>
        <w:pStyle w:val="Normal1"/>
        <w:jc w:val="both"/>
        <w:rPr>
          <w:color w:val="000000"/>
        </w:rPr>
      </w:pPr>
      <w:r>
        <w:rPr>
          <w:spacing w:val="4"/>
        </w:rPr>
        <w:t>Le marché ne prévoit pas d’option ni de variante.</w:t>
      </w:r>
    </w:p>
    <w:p>
      <w:pPr>
        <w:pStyle w:val="Standard"/>
        <w:tabs>
          <w:tab w:val="left" w:pos="454"/>
          <w:tab w:val="left" w:pos="1376"/>
          <w:tab w:val="left" w:pos="1801"/>
          <w:tab w:val="left" w:pos="4920"/>
          <w:tab w:val="left" w:pos="5345"/>
          <w:tab w:val="left" w:pos="8038"/>
          <w:tab w:val="left" w:pos="8464"/>
        </w:tabs>
        <w:spacing w:after="40"/>
        <w:jc w:val="both"/>
        <w:rPr>
          <w:sz w:val="24"/>
          <w:szCs w:val="24"/>
        </w:rPr>
      </w:pPr>
      <w:r>
        <w:rPr>
          <w:spacing w:val="4"/>
          <w:sz w:val="24"/>
          <w:szCs w:val="24"/>
        </w:rPr>
        <w:t>Le présent marché s’inscrit dans une démarche environnementale, en matière de recyclage et de valorisation des déchets ou des matériels à réparer et à réviser.</w:t>
      </w:r>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tabs>
          <w:tab w:val="right" w:leader="dot" w:pos="9061"/>
        </w:tabs>
        <w:spacing w:before="363" w:after="120"/>
      </w:pPr>
      <w:bookmarkStart w:id="10" w:name="_Toc201052722"/>
      <w:r>
        <w:rPr>
          <w:rFonts w:ascii="Times New Roman" w:hAnsi="Times New Roman" w:cs="Times New Roman"/>
          <w:color w:val="000000"/>
          <w:sz w:val="24"/>
          <w:szCs w:val="24"/>
        </w:rPr>
        <w:t xml:space="preserve">D : </w:t>
      </w:r>
      <w:r>
        <w:rPr>
          <w:rFonts w:ascii="Times New Roman" w:hAnsi="Times New Roman" w:cs="Times New Roman"/>
          <w:caps w:val="0"/>
          <w:smallCaps/>
          <w:color w:val="000000"/>
          <w:sz w:val="24"/>
          <w:szCs w:val="24"/>
        </w:rPr>
        <w:t>groupement et sous-traitance</w:t>
      </w:r>
      <w:bookmarkEnd w:id="10"/>
    </w:p>
    <w:p>
      <w:pPr>
        <w:pStyle w:val="Normal1"/>
        <w:spacing w:before="363" w:after="0"/>
        <w:jc w:val="both"/>
        <w:rPr>
          <w:color w:val="000000"/>
        </w:rPr>
      </w:pPr>
      <w:r>
        <w:rPr>
          <w:color w:val="000000"/>
        </w:rPr>
        <w:t>Lorsque le titulaire est un groupement d’entreprises, les membres le composant sont solidaires de l’exécution de l’ensemble des obligations qui découlent du marché.</w:t>
      </w:r>
    </w:p>
    <w:p>
      <w:pPr>
        <w:pStyle w:val="Normal1"/>
        <w:spacing w:before="85" w:after="85"/>
        <w:jc w:val="both"/>
      </w:pPr>
      <w:r>
        <w:rPr>
          <w:color w:val="000000"/>
        </w:rPr>
        <w:t xml:space="preserve">Conformément aux articles </w:t>
      </w:r>
      <w:r>
        <w:rPr>
          <w:color w:val="auto"/>
        </w:rPr>
        <w:t>R2143-3 et R2143-4 du décret n° 2018-1075 du 3 décembre 2018 du code de la commande publique</w:t>
      </w:r>
      <w:r>
        <w:rPr>
          <w:color w:val="000000"/>
        </w:rPr>
        <w:t>, l’un des opérateurs économiques membres du groupement, désigné dans le DC1 et dans le DC2 comme mandataire, représente l’ensemble des membres vis-à-vis du pouvoir adjudicateur, et coordonne les prestations des membres du groupement.</w:t>
      </w:r>
    </w:p>
    <w:p>
      <w:pPr>
        <w:pStyle w:val="Normal1"/>
        <w:jc w:val="both"/>
        <w:rPr>
          <w:color w:val="000000"/>
        </w:rPr>
      </w:pPr>
      <w:r>
        <w:rPr>
          <w:color w:val="000000"/>
        </w:rPr>
        <w:t>Le titulaire du marché peut sous-traiter l’exécution de certaines prestations sous réserve de l’acceptation du ou des sous-traitants par le pouvoir adjudicateur. La sous-traitance de la totalité du marché est interdite.</w:t>
      </w:r>
    </w:p>
    <w:p>
      <w:pPr>
        <w:pStyle w:val="Normal1"/>
        <w:jc w:val="both"/>
        <w:rPr>
          <w:color w:val="000000"/>
        </w:rPr>
      </w:pPr>
    </w:p>
    <w:p>
      <w:pPr>
        <w:pStyle w:val="Normal1"/>
        <w:jc w:val="both"/>
      </w:pPr>
    </w:p>
    <w:p>
      <w:pPr>
        <w:pStyle w:val="Titre1"/>
        <w:pBdr>
          <w:top w:val="single" w:sz="4" w:space="2" w:color="000001"/>
          <w:left w:val="single" w:sz="4" w:space="4" w:color="000001"/>
          <w:bottom w:val="single" w:sz="4" w:space="1" w:color="000001"/>
          <w:right w:val="single" w:sz="4" w:space="4" w:color="000001"/>
        </w:pBdr>
        <w:shd w:val="clear" w:color="auto" w:fill="F2F2F2" w:themeFill="background1" w:themeFillShade="F2"/>
        <w:tabs>
          <w:tab w:val="right" w:leader="dot" w:pos="9061"/>
        </w:tabs>
        <w:spacing w:before="363" w:after="120"/>
      </w:pPr>
      <w:bookmarkStart w:id="11" w:name="_Toc436321871"/>
      <w:bookmarkStart w:id="12" w:name="_Toc201052723"/>
      <w:bookmarkEnd w:id="11"/>
      <w:r>
        <w:rPr>
          <w:rFonts w:ascii="Times New Roman" w:hAnsi="Times New Roman" w:cs="Times New Roman"/>
          <w:color w:val="000000"/>
          <w:sz w:val="24"/>
          <w:szCs w:val="24"/>
        </w:rPr>
        <w:lastRenderedPageBreak/>
        <w:t xml:space="preserve">E : </w:t>
      </w:r>
      <w:r>
        <w:rPr>
          <w:rFonts w:ascii="Times New Roman" w:hAnsi="Times New Roman" w:cs="Times New Roman"/>
          <w:caps w:val="0"/>
          <w:smallCaps/>
          <w:color w:val="000000"/>
          <w:sz w:val="24"/>
          <w:szCs w:val="24"/>
        </w:rPr>
        <w:t>durée et modalités d’exécution du marché</w:t>
      </w:r>
      <w:bookmarkEnd w:id="12"/>
    </w:p>
    <w:p>
      <w:pPr>
        <w:pStyle w:val="Normal1"/>
        <w:spacing w:before="85" w:after="85"/>
        <w:jc w:val="both"/>
        <w:rPr>
          <w:color w:val="000000"/>
          <w:sz w:val="16"/>
          <w:szCs w:val="16"/>
        </w:rPr>
      </w:pPr>
    </w:p>
    <w:p>
      <w:pPr>
        <w:pStyle w:val="Normal1"/>
        <w:spacing w:before="85" w:after="85"/>
        <w:jc w:val="both"/>
      </w:pPr>
      <w:r>
        <w:t>Le présent marché s’exécutera dans la période comprise entre la date de notification au titulaire et la date d’achèvement des garanties contractuelles.</w:t>
      </w:r>
    </w:p>
    <w:p>
      <w:pPr>
        <w:pStyle w:val="Normal1"/>
        <w:spacing w:before="85" w:after="85"/>
        <w:jc w:val="both"/>
        <w:rPr>
          <w:color w:val="auto"/>
        </w:rPr>
      </w:pPr>
      <w:bookmarkStart w:id="13" w:name="_Toc436321872"/>
      <w:bookmarkEnd w:id="13"/>
      <w:r>
        <w:rPr>
          <w:color w:val="auto"/>
        </w:rPr>
        <w:t>Le démarrage des prestations est prévu :</w:t>
      </w:r>
    </w:p>
    <w:p>
      <w:pPr>
        <w:pStyle w:val="Normal1"/>
        <w:numPr>
          <w:ilvl w:val="0"/>
          <w:numId w:val="13"/>
        </w:numPr>
        <w:spacing w:before="85" w:after="85"/>
        <w:jc w:val="both"/>
        <w:rPr>
          <w:b/>
          <w:bCs/>
          <w:color w:val="auto"/>
        </w:rPr>
      </w:pPr>
      <w:r>
        <w:rPr>
          <w:b/>
          <w:bCs/>
          <w:color w:val="auto"/>
        </w:rPr>
        <w:t xml:space="preserve">le lundi 27/10/2025 </w:t>
      </w:r>
    </w:p>
    <w:p>
      <w:pPr>
        <w:pStyle w:val="Normal1"/>
        <w:spacing w:before="85" w:after="85"/>
        <w:jc w:val="both"/>
        <w:rPr>
          <w:color w:val="auto"/>
        </w:rPr>
      </w:pPr>
      <w:r>
        <w:rPr>
          <w:bCs/>
          <w:color w:val="auto"/>
        </w:rPr>
        <w:t xml:space="preserve">La </w:t>
      </w:r>
      <w:r>
        <w:rPr>
          <w:color w:val="auto"/>
        </w:rPr>
        <w:t>réception est fixée :</w:t>
      </w:r>
    </w:p>
    <w:p>
      <w:pPr>
        <w:pStyle w:val="Normal1"/>
        <w:numPr>
          <w:ilvl w:val="0"/>
          <w:numId w:val="13"/>
        </w:numPr>
        <w:spacing w:before="85" w:after="85"/>
        <w:jc w:val="both"/>
        <w:rPr>
          <w:b/>
          <w:color w:val="auto"/>
        </w:rPr>
      </w:pPr>
      <w:r>
        <w:rPr>
          <w:b/>
          <w:color w:val="auto"/>
        </w:rPr>
        <w:t>le vendredi 31/10/2025</w:t>
      </w:r>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tabs>
          <w:tab w:val="left" w:pos="927"/>
        </w:tabs>
        <w:spacing w:before="360" w:after="120"/>
      </w:pPr>
      <w:bookmarkStart w:id="14" w:name="_Toc201052724"/>
      <w:r>
        <w:rPr>
          <w:rFonts w:ascii="Times New Roman" w:hAnsi="Times New Roman" w:cs="Times New Roman"/>
          <w:color w:val="000000"/>
          <w:sz w:val="24"/>
          <w:szCs w:val="24"/>
        </w:rPr>
        <w:t xml:space="preserve">F : </w:t>
      </w:r>
      <w:r>
        <w:rPr>
          <w:rFonts w:ascii="Times New Roman" w:hAnsi="Times New Roman" w:cs="Times New Roman"/>
          <w:caps w:val="0"/>
          <w:smallCaps/>
          <w:color w:val="000000"/>
          <w:sz w:val="24"/>
          <w:szCs w:val="24"/>
        </w:rPr>
        <w:t>contenu des prestations</w:t>
      </w:r>
      <w:bookmarkEnd w:id="14"/>
    </w:p>
    <w:p>
      <w:pPr>
        <w:pStyle w:val="Normal1"/>
        <w:tabs>
          <w:tab w:val="left" w:pos="927"/>
        </w:tabs>
        <w:spacing w:before="0" w:after="0"/>
        <w:rPr>
          <w:color w:val="000000"/>
        </w:rPr>
      </w:pPr>
    </w:p>
    <w:p>
      <w:pPr>
        <w:pStyle w:val="Normal1"/>
        <w:tabs>
          <w:tab w:val="left" w:pos="927"/>
        </w:tabs>
        <w:spacing w:before="28" w:after="28"/>
        <w:jc w:val="both"/>
      </w:pPr>
      <w:r>
        <w:rPr>
          <w:color w:val="000000"/>
        </w:rPr>
        <w:t>Les prestations du marché comprennent :</w:t>
      </w:r>
    </w:p>
    <w:p>
      <w:pPr>
        <w:pStyle w:val="Normal1"/>
        <w:numPr>
          <w:ilvl w:val="1"/>
          <w:numId w:val="2"/>
        </w:numPr>
        <w:tabs>
          <w:tab w:val="left" w:pos="927"/>
        </w:tabs>
        <w:spacing w:before="0" w:after="0"/>
        <w:jc w:val="both"/>
        <w:rPr>
          <w:b/>
          <w:bCs/>
        </w:rPr>
      </w:pPr>
      <w:r>
        <w:t xml:space="preserve">La fourniture, la livraison et l’installation d’un ensemble de matériel et de mobilier de restauration collective (selon fiches techniques dans l’annexe 1 et selon le plan fourni dans l’annexe) </w:t>
      </w:r>
    </w:p>
    <w:p>
      <w:pPr>
        <w:pStyle w:val="Normal1"/>
        <w:numPr>
          <w:ilvl w:val="1"/>
          <w:numId w:val="2"/>
        </w:numPr>
        <w:tabs>
          <w:tab w:val="left" w:pos="927"/>
        </w:tabs>
        <w:spacing w:before="0" w:after="0"/>
        <w:jc w:val="both"/>
      </w:pPr>
      <w:r>
        <w:rPr>
          <w:color w:val="000000"/>
        </w:rPr>
        <w:t>Le déballage, l’évacuation et l’enlèvement des emballages,</w:t>
      </w:r>
    </w:p>
    <w:p>
      <w:pPr>
        <w:pStyle w:val="Normal1"/>
        <w:numPr>
          <w:ilvl w:val="1"/>
          <w:numId w:val="2"/>
        </w:numPr>
        <w:tabs>
          <w:tab w:val="left" w:pos="927"/>
        </w:tabs>
        <w:spacing w:before="0" w:after="0"/>
        <w:jc w:val="both"/>
      </w:pPr>
      <w:r>
        <w:rPr>
          <w:color w:val="000000"/>
        </w:rPr>
        <w:t>Le raccordement et la mise en service des meubles et des appareils,</w:t>
      </w:r>
    </w:p>
    <w:p>
      <w:pPr>
        <w:pStyle w:val="Normal1"/>
        <w:numPr>
          <w:ilvl w:val="1"/>
          <w:numId w:val="2"/>
        </w:numPr>
        <w:tabs>
          <w:tab w:val="left" w:pos="927"/>
        </w:tabs>
        <w:spacing w:before="0" w:after="0"/>
        <w:jc w:val="both"/>
      </w:pPr>
      <w:r>
        <w:rPr>
          <w:color w:val="000000"/>
        </w:rPr>
        <w:t>La formation des personnels utilisateurs lors de la mise en service définitive,</w:t>
      </w:r>
    </w:p>
    <w:p>
      <w:pPr>
        <w:pStyle w:val="Normal1"/>
        <w:numPr>
          <w:ilvl w:val="1"/>
          <w:numId w:val="2"/>
        </w:numPr>
        <w:tabs>
          <w:tab w:val="left" w:pos="927"/>
        </w:tabs>
        <w:spacing w:before="0" w:after="0"/>
        <w:jc w:val="both"/>
      </w:pPr>
      <w:r>
        <w:rPr>
          <w:color w:val="000000"/>
        </w:rPr>
        <w:t>L’enlèvement du mobilier non récupéré.</w:t>
      </w:r>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spacing w:before="360" w:after="120"/>
      </w:pPr>
      <w:bookmarkStart w:id="15" w:name="_Toc436321873"/>
      <w:bookmarkStart w:id="16" w:name="_Toc201052725"/>
      <w:bookmarkEnd w:id="15"/>
      <w:r>
        <w:rPr>
          <w:rFonts w:ascii="Times New Roman" w:hAnsi="Times New Roman" w:cs="Times New Roman"/>
          <w:color w:val="000000"/>
          <w:sz w:val="24"/>
          <w:szCs w:val="24"/>
        </w:rPr>
        <w:t xml:space="preserve">G : </w:t>
      </w:r>
      <w:r>
        <w:rPr>
          <w:rFonts w:ascii="Times New Roman" w:hAnsi="Times New Roman" w:cs="Times New Roman"/>
          <w:caps w:val="0"/>
          <w:smallCaps/>
          <w:color w:val="000000"/>
          <w:sz w:val="24"/>
          <w:szCs w:val="24"/>
        </w:rPr>
        <w:t>pièces contractuelles du marché</w:t>
      </w:r>
      <w:bookmarkEnd w:id="16"/>
    </w:p>
    <w:p>
      <w:pPr>
        <w:pStyle w:val="Normal1"/>
        <w:suppressAutoHyphens w:val="0"/>
        <w:spacing w:before="119" w:after="119"/>
        <w:jc w:val="both"/>
        <w:textAlignment w:val="auto"/>
      </w:pPr>
      <w:r>
        <w:t>Les pièces constitutives du marché sont les suivantes, par ordre de priorité décroissante :</w:t>
      </w:r>
    </w:p>
    <w:p>
      <w:pPr>
        <w:pStyle w:val="Normal1"/>
        <w:numPr>
          <w:ilvl w:val="0"/>
          <w:numId w:val="2"/>
        </w:numPr>
        <w:tabs>
          <w:tab w:val="left" w:pos="927"/>
        </w:tabs>
        <w:spacing w:before="28" w:after="28"/>
        <w:jc w:val="both"/>
      </w:pPr>
      <w:r>
        <w:t>L’acte d’engagement (ATTRI1)</w:t>
      </w:r>
    </w:p>
    <w:p>
      <w:pPr>
        <w:pStyle w:val="Normal1"/>
        <w:numPr>
          <w:ilvl w:val="0"/>
          <w:numId w:val="2"/>
        </w:numPr>
        <w:tabs>
          <w:tab w:val="left" w:pos="927"/>
        </w:tabs>
        <w:spacing w:before="28" w:after="28"/>
        <w:jc w:val="both"/>
      </w:pPr>
      <w:r>
        <w:t>Le cadre de décomposition du prix forfaitaire complété par le titulaire ;</w:t>
      </w:r>
    </w:p>
    <w:p>
      <w:pPr>
        <w:pStyle w:val="Normal1"/>
        <w:numPr>
          <w:ilvl w:val="0"/>
          <w:numId w:val="2"/>
        </w:numPr>
        <w:tabs>
          <w:tab w:val="left" w:pos="927"/>
        </w:tabs>
        <w:spacing w:before="28" w:after="28"/>
        <w:jc w:val="both"/>
      </w:pPr>
      <w:r>
        <w:t>Le Cahier des Clauses Administratives Particulières (CCAP) ; l’original conservé dans les archives du pouvoir adjudicateur fait seul foi ;</w:t>
      </w:r>
    </w:p>
    <w:p>
      <w:pPr>
        <w:pStyle w:val="Normal1"/>
        <w:numPr>
          <w:ilvl w:val="0"/>
          <w:numId w:val="2"/>
        </w:numPr>
        <w:tabs>
          <w:tab w:val="left" w:pos="927"/>
        </w:tabs>
        <w:spacing w:before="28" w:after="28"/>
        <w:jc w:val="both"/>
      </w:pPr>
      <w:r>
        <w:t>Le CCTP et ses annexes 1 et 2 ;</w:t>
      </w:r>
    </w:p>
    <w:p>
      <w:pPr>
        <w:pStyle w:val="Normal1"/>
        <w:numPr>
          <w:ilvl w:val="0"/>
          <w:numId w:val="2"/>
        </w:numPr>
        <w:tabs>
          <w:tab w:val="left" w:pos="927"/>
        </w:tabs>
        <w:spacing w:before="28" w:after="28"/>
        <w:jc w:val="both"/>
      </w:pPr>
      <w:r>
        <w:t>Le cahier des clauses administratives générales applicables aux marchés de fournitures courantes et de services (</w:t>
      </w:r>
      <w:r>
        <w:rPr>
          <w:smallCaps/>
        </w:rPr>
        <w:t>CCAG/FOURNITURES</w:t>
      </w:r>
      <w:r>
        <w:t xml:space="preserve"> et </w:t>
      </w:r>
      <w:r>
        <w:rPr>
          <w:smallCaps/>
        </w:rPr>
        <w:t>SERVICES</w:t>
      </w:r>
      <w:r>
        <w:t>) approuvé par arrêté du 19 janvier 2009 ;</w:t>
      </w:r>
    </w:p>
    <w:p>
      <w:pPr>
        <w:pStyle w:val="Normal1"/>
        <w:numPr>
          <w:ilvl w:val="0"/>
          <w:numId w:val="2"/>
        </w:numPr>
        <w:tabs>
          <w:tab w:val="left" w:pos="927"/>
        </w:tabs>
        <w:spacing w:before="28" w:after="28"/>
        <w:jc w:val="both"/>
      </w:pPr>
      <w:r>
        <w:t>L’offre technique et financière du candidat ;</w:t>
      </w:r>
    </w:p>
    <w:p>
      <w:pPr>
        <w:pStyle w:val="Normal1"/>
        <w:tabs>
          <w:tab w:val="left" w:pos="927"/>
        </w:tabs>
        <w:spacing w:before="28" w:after="28"/>
        <w:jc w:val="both"/>
        <w:rPr>
          <w:color w:val="FF0000"/>
        </w:rPr>
      </w:pPr>
    </w:p>
    <w:p>
      <w:pPr>
        <w:pStyle w:val="Normal1"/>
        <w:tabs>
          <w:tab w:val="left" w:pos="927"/>
        </w:tabs>
        <w:spacing w:before="28" w:after="28"/>
        <w:jc w:val="both"/>
      </w:pPr>
      <w:r>
        <w:t>Toute clause portée sur une documentation transmise par le titulaire et contraire aux pièces constitutives du marché est réputée non écrite.</w:t>
      </w:r>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spacing w:before="363" w:after="120"/>
      </w:pPr>
      <w:bookmarkStart w:id="17" w:name="_Toc436321877"/>
      <w:bookmarkStart w:id="18" w:name="_Toc201052726"/>
      <w:r>
        <w:rPr>
          <w:rFonts w:ascii="Times New Roman" w:hAnsi="Times New Roman" w:cs="Times New Roman"/>
          <w:color w:val="000000"/>
          <w:sz w:val="24"/>
          <w:szCs w:val="24"/>
        </w:rPr>
        <w:t xml:space="preserve">H : </w:t>
      </w:r>
      <w:bookmarkEnd w:id="17"/>
      <w:r>
        <w:rPr>
          <w:rFonts w:ascii="Times New Roman" w:hAnsi="Times New Roman" w:cs="Times New Roman"/>
          <w:caps w:val="0"/>
          <w:smallCaps/>
          <w:color w:val="000000"/>
          <w:sz w:val="24"/>
          <w:szCs w:val="24"/>
        </w:rPr>
        <w:t>modalités de prix</w:t>
      </w:r>
      <w:bookmarkEnd w:id="18"/>
    </w:p>
    <w:p>
      <w:pPr>
        <w:spacing w:after="120"/>
        <w:jc w:val="both"/>
        <w:rPr>
          <w:rFonts w:cs="Times New Roman"/>
          <w:sz w:val="24"/>
        </w:rPr>
      </w:pPr>
      <w:r>
        <w:rPr>
          <w:rFonts w:cs="Times New Roman"/>
          <w:sz w:val="24"/>
        </w:rPr>
        <w:t>L'unité monétaire qui s'applique est l'Euro.</w:t>
      </w:r>
    </w:p>
    <w:p>
      <w:pPr>
        <w:spacing w:after="120"/>
        <w:jc w:val="both"/>
        <w:rPr>
          <w:rFonts w:cs="Times New Roman"/>
          <w:sz w:val="24"/>
        </w:rPr>
      </w:pPr>
      <w:r>
        <w:rPr>
          <w:rFonts w:cs="Times New Roman"/>
          <w:sz w:val="24"/>
        </w:rPr>
        <w:t>Sont applicables les taux de TVA en vigueur lors du fait générateur de la taxe au sens de l'article 269 du code général des impôts.</w:t>
      </w:r>
    </w:p>
    <w:p>
      <w:pPr>
        <w:spacing w:after="120"/>
        <w:jc w:val="both"/>
        <w:rPr>
          <w:rFonts w:cs="Times New Roman"/>
          <w:sz w:val="24"/>
        </w:rPr>
      </w:pPr>
      <w:r>
        <w:rPr>
          <w:rFonts w:cs="Times New Roman"/>
          <w:sz w:val="24"/>
        </w:rPr>
        <w:t xml:space="preserve">Les prix unitaires sont fermes, ils comprennent la fourniture, la main d’œuvre de manutention et de pose, les essais et réglages, les travaux accessoires, les frais généraux et aléas de toutes sortes ainsi que toutes sujétions implicites au marché. Les quantités sont incluses. Les postes jugés oubliés dans le cadre de décomposition du prix forfaitaire seront mentionnés séparément. </w:t>
      </w:r>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spacing w:before="363" w:after="120"/>
      </w:pPr>
      <w:bookmarkStart w:id="19" w:name="_Toc436321880"/>
      <w:bookmarkStart w:id="20" w:name="_Toc201052727"/>
      <w:r>
        <w:rPr>
          <w:rFonts w:ascii="Times New Roman" w:hAnsi="Times New Roman" w:cs="Times New Roman"/>
          <w:color w:val="000000"/>
          <w:sz w:val="24"/>
          <w:szCs w:val="24"/>
        </w:rPr>
        <w:lastRenderedPageBreak/>
        <w:t>I :</w:t>
      </w:r>
      <w:bookmarkEnd w:id="19"/>
      <w:r>
        <w:rPr>
          <w:rFonts w:ascii="Times New Roman" w:hAnsi="Times New Roman" w:cs="Times New Roman"/>
          <w:color w:val="000000"/>
          <w:sz w:val="24"/>
          <w:szCs w:val="24"/>
        </w:rPr>
        <w:t xml:space="preserve"> </w:t>
      </w:r>
      <w:r>
        <w:rPr>
          <w:rFonts w:ascii="Times New Roman" w:hAnsi="Times New Roman" w:cs="Times New Roman"/>
          <w:caps w:val="0"/>
          <w:smallCaps/>
          <w:color w:val="000000"/>
          <w:sz w:val="24"/>
          <w:szCs w:val="24"/>
        </w:rPr>
        <w:t>Modalités de paiement</w:t>
      </w:r>
      <w:bookmarkEnd w:id="20"/>
    </w:p>
    <w:p>
      <w:pPr>
        <w:pStyle w:val="Normal1"/>
        <w:spacing w:before="0" w:after="0"/>
        <w:jc w:val="both"/>
        <w:rPr>
          <w:color w:val="000000"/>
          <w:sz w:val="12"/>
          <w:szCs w:val="12"/>
        </w:rPr>
      </w:pPr>
    </w:p>
    <w:p>
      <w:pPr>
        <w:pStyle w:val="Normal1"/>
        <w:spacing w:before="0" w:after="0"/>
        <w:jc w:val="both"/>
        <w:rPr>
          <w:color w:val="000000"/>
          <w:u w:val="single"/>
        </w:rPr>
      </w:pPr>
      <w:r>
        <w:rPr>
          <w:color w:val="000000"/>
          <w:u w:val="single"/>
        </w:rPr>
        <w:t>Modalités de paiement</w:t>
      </w:r>
    </w:p>
    <w:p>
      <w:pPr>
        <w:pStyle w:val="Normal1"/>
        <w:spacing w:before="0" w:after="0"/>
        <w:jc w:val="both"/>
        <w:rPr>
          <w:color w:val="auto"/>
        </w:rPr>
      </w:pPr>
      <w:r>
        <w:rPr>
          <w:color w:val="000000"/>
        </w:rPr>
        <w:t>Le paiement s’effectue suivant les règles de la comptabilité publique, dans les conditions prévues aux articles</w:t>
      </w:r>
      <w:r>
        <w:rPr>
          <w:color w:val="auto"/>
        </w:rPr>
        <w:t xml:space="preserve"> R2191-1 et R2191-2 du décret n° 2018-1075 du 3 décembre 2018 du code de la commande publique.</w:t>
      </w:r>
    </w:p>
    <w:p>
      <w:pPr>
        <w:pStyle w:val="Normal1"/>
        <w:spacing w:before="0" w:after="0"/>
        <w:jc w:val="both"/>
        <w:rPr>
          <w:u w:val="single"/>
        </w:rPr>
      </w:pPr>
    </w:p>
    <w:p>
      <w:pPr>
        <w:pStyle w:val="Normal1"/>
        <w:spacing w:before="0" w:after="0"/>
        <w:jc w:val="both"/>
        <w:rPr>
          <w:u w:val="single"/>
        </w:rPr>
      </w:pPr>
      <w:r>
        <w:rPr>
          <w:u w:val="single"/>
        </w:rPr>
        <w:t>Délais de paiement</w:t>
      </w:r>
    </w:p>
    <w:p>
      <w:pPr>
        <w:pStyle w:val="Normal1"/>
        <w:spacing w:before="0" w:after="0"/>
        <w:jc w:val="both"/>
      </w:pPr>
      <w:r>
        <w:rPr>
          <w:color w:val="000000"/>
          <w:shd w:val="clear" w:color="auto" w:fill="FFFFFF"/>
        </w:rPr>
        <w:t xml:space="preserve">Ainsi, le délai global de paiement ne peut excéder trente (30) jours, selon les dispositions des articles R2192-10 et R2192-11 </w:t>
      </w:r>
      <w:r>
        <w:rPr>
          <w:color w:val="auto"/>
        </w:rPr>
        <w:t>du décret n° 2018-1075 du 3 décembre 2018 du code de la commande publique.</w:t>
      </w:r>
    </w:p>
    <w:p>
      <w:pPr>
        <w:pStyle w:val="Normal1"/>
        <w:spacing w:before="0" w:after="0"/>
        <w:jc w:val="both"/>
        <w:rPr>
          <w:color w:val="000000"/>
        </w:rPr>
      </w:pPr>
    </w:p>
    <w:p>
      <w:pPr>
        <w:pStyle w:val="Normal1"/>
        <w:spacing w:before="0" w:after="0"/>
        <w:jc w:val="both"/>
      </w:pPr>
      <w:r>
        <w:rPr>
          <w:color w:val="000000"/>
        </w:rPr>
        <w:t xml:space="preserve">Le pouvoir adjudicateur se libère des sommes dues au titre du marché par virement effectué </w:t>
      </w:r>
      <w:r>
        <w:rPr>
          <w:color w:val="000000"/>
          <w:shd w:val="clear" w:color="auto" w:fill="FFFFFF"/>
        </w:rPr>
        <w:t xml:space="preserve">sur le </w:t>
      </w:r>
      <w:r>
        <w:rPr>
          <w:color w:val="000000"/>
        </w:rPr>
        <w:t>compte désigné par le titulaire.</w:t>
      </w:r>
    </w:p>
    <w:p>
      <w:pPr>
        <w:pStyle w:val="Normal1"/>
        <w:spacing w:before="0" w:after="0"/>
        <w:jc w:val="both"/>
        <w:rPr>
          <w:color w:val="000000"/>
          <w:shd w:val="clear" w:color="auto" w:fill="FFFFFF"/>
        </w:rPr>
      </w:pPr>
    </w:p>
    <w:p>
      <w:pPr>
        <w:pStyle w:val="Normal1"/>
        <w:spacing w:before="0" w:after="0"/>
        <w:jc w:val="both"/>
        <w:rPr>
          <w:color w:val="000000"/>
          <w:u w:val="single"/>
        </w:rPr>
      </w:pPr>
      <w:r>
        <w:rPr>
          <w:color w:val="000000"/>
          <w:u w:val="single"/>
        </w:rPr>
        <w:t>Le défaut de paiement</w:t>
      </w:r>
    </w:p>
    <w:p>
      <w:pPr>
        <w:pStyle w:val="Normal1"/>
        <w:spacing w:before="0" w:after="0"/>
        <w:jc w:val="both"/>
      </w:pPr>
      <w:r>
        <w:rPr>
          <w:color w:val="000000"/>
        </w:rPr>
        <w:t xml:space="preserve">S’applique dans les délais prévus selon les dispositions </w:t>
      </w:r>
      <w:r>
        <w:rPr>
          <w:color w:val="000000"/>
          <w:shd w:val="clear" w:color="auto" w:fill="FFFFFF"/>
        </w:rPr>
        <w:t xml:space="preserve">des articles R2192-27, R2192-28, R2192-29 et R2192-30 </w:t>
      </w:r>
      <w:r>
        <w:rPr>
          <w:color w:val="auto"/>
        </w:rPr>
        <w:t>du décret n° 2018-1075 du 3 décembre 2018 du code de la commande publique</w:t>
      </w:r>
      <w:r>
        <w:rPr>
          <w:color w:val="000000"/>
          <w:shd w:val="clear" w:color="auto" w:fill="FFFFFF"/>
        </w:rPr>
        <w:t xml:space="preserve">, </w:t>
      </w:r>
      <w:r>
        <w:rPr>
          <w:color w:val="000000"/>
        </w:rPr>
        <w:t>fait courir de plein droit, et sans autre formalité, des intérêts moratoires au bénéfice du titulaire.</w:t>
      </w:r>
    </w:p>
    <w:p>
      <w:pPr>
        <w:pStyle w:val="Normal1"/>
        <w:spacing w:before="0" w:after="0"/>
        <w:jc w:val="both"/>
        <w:rPr>
          <w:color w:val="000000"/>
        </w:rPr>
      </w:pPr>
    </w:p>
    <w:p>
      <w:pPr>
        <w:pStyle w:val="Normal1"/>
        <w:spacing w:before="0" w:after="0"/>
        <w:jc w:val="both"/>
        <w:rPr>
          <w:color w:val="000000"/>
          <w:u w:val="single"/>
        </w:rPr>
      </w:pPr>
      <w:r>
        <w:rPr>
          <w:color w:val="000000"/>
          <w:u w:val="single"/>
        </w:rPr>
        <w:t>Intérêts moratoires</w:t>
      </w:r>
    </w:p>
    <w:p>
      <w:pPr>
        <w:pStyle w:val="Normal1"/>
        <w:spacing w:before="0" w:after="0"/>
        <w:jc w:val="both"/>
        <w:rPr>
          <w:color w:val="000000"/>
        </w:rPr>
      </w:pPr>
      <w:r>
        <w:rPr>
          <w:color w:val="000000"/>
        </w:rPr>
        <w:t>Conformément aux articles</w:t>
      </w:r>
      <w:r>
        <w:rPr>
          <w:color w:val="auto"/>
        </w:rPr>
        <w:t xml:space="preserve"> R2192-31, R2192-32, R2192-33, R2192-34, R2192-35 et R2192-36   le taux des in</w:t>
      </w:r>
      <w:r>
        <w:rPr>
          <w:color w:val="000000"/>
        </w:rPr>
        <w:t>térêts moratoires est égal au taux d’intérêt de la principale facilité de refinancement appliqué par la Banque Centrale Européenne à son opération de refinancement principal la plus récente effectuée avant le premier jour de calendrier du semestre de l’année civile au cours duquel les intérêts moratoires ont commencé à courir, majoré de huit (8) points.</w:t>
      </w:r>
    </w:p>
    <w:p>
      <w:pPr>
        <w:pStyle w:val="Normal1"/>
        <w:spacing w:before="0" w:after="0"/>
        <w:jc w:val="both"/>
        <w:rPr>
          <w:color w:val="000000"/>
        </w:rPr>
      </w:pPr>
    </w:p>
    <w:p>
      <w:pPr>
        <w:pStyle w:val="Normal1"/>
        <w:spacing w:before="0" w:after="0"/>
        <w:jc w:val="both"/>
        <w:rPr>
          <w:color w:val="000000"/>
        </w:rPr>
      </w:pPr>
      <w:r>
        <w:rPr>
          <w:color w:val="000000"/>
          <w:u w:val="single"/>
        </w:rPr>
        <w:t>Avance</w:t>
      </w:r>
    </w:p>
    <w:p>
      <w:pPr>
        <w:pStyle w:val="Normal1"/>
        <w:spacing w:before="0" w:after="0"/>
        <w:jc w:val="both"/>
        <w:rPr>
          <w:color w:val="000000"/>
        </w:rPr>
      </w:pPr>
      <w:r>
        <w:rPr>
          <w:color w:val="000000"/>
        </w:rPr>
        <w:t xml:space="preserve">Une avance est accordée à l’entrepreneur lorsque le montant des prestations dont il est chargé est supérieur à 50.000 € HT et dans la mesure où le délai d’exécution est supérieur à deux mois, sauf si celui y renonce dans l’acte d’engagement, conformément au décret n°2018-1225 du 24/12/18. Son montant est fixé à 5% du montant initial TTC du marché. Le taux de l’avance fixé est porté à 20 % lorsque le titulaire du marché public ou son sous-traitant admis au paiement direct est une petite et moyenne entreprise au sens de l’article R2151-13 </w:t>
      </w:r>
      <w:r>
        <w:rPr>
          <w:color w:val="auto"/>
        </w:rPr>
        <w:t>du décret n° 2018-1075 du 3 décembre 2018 du code de la commande publique.</w:t>
      </w:r>
    </w:p>
    <w:p>
      <w:pPr>
        <w:pStyle w:val="Normal1"/>
        <w:spacing w:before="0" w:after="0"/>
        <w:jc w:val="both"/>
        <w:rPr>
          <w:color w:val="000000"/>
        </w:rPr>
      </w:pPr>
    </w:p>
    <w:p>
      <w:pPr>
        <w:pStyle w:val="Normal1"/>
        <w:spacing w:before="0" w:after="0"/>
        <w:jc w:val="both"/>
        <w:rPr>
          <w:color w:val="000000"/>
        </w:rPr>
      </w:pPr>
      <w:r>
        <w:rPr>
          <w:color w:val="000000"/>
          <w:u w:val="single"/>
        </w:rPr>
        <w:t>Retenue de garantie</w:t>
      </w:r>
    </w:p>
    <w:p>
      <w:pPr>
        <w:pStyle w:val="Normal1"/>
        <w:spacing w:before="0" w:after="0"/>
        <w:jc w:val="both"/>
        <w:rPr>
          <w:color w:val="000000"/>
        </w:rPr>
      </w:pPr>
    </w:p>
    <w:p>
      <w:pPr>
        <w:pStyle w:val="Normal1"/>
        <w:spacing w:before="0" w:after="0"/>
        <w:jc w:val="both"/>
        <w:rPr>
          <w:color w:val="000000"/>
        </w:rPr>
      </w:pPr>
      <w:r>
        <w:rPr>
          <w:color w:val="000000"/>
        </w:rPr>
        <w:t>Il n’est pas institué de retenue de garantie.</w:t>
      </w:r>
    </w:p>
    <w:p>
      <w:pPr>
        <w:pStyle w:val="Normal1"/>
        <w:spacing w:before="0" w:after="0"/>
        <w:jc w:val="both"/>
        <w:rPr>
          <w:color w:val="000000"/>
        </w:rPr>
      </w:pPr>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spacing w:before="360" w:after="120"/>
        <w:rPr>
          <w:caps w:val="0"/>
          <w:smallCaps/>
        </w:rPr>
      </w:pPr>
      <w:bookmarkStart w:id="21" w:name="_Toc436321883"/>
      <w:bookmarkStart w:id="22" w:name="_Toc201052728"/>
      <w:bookmarkEnd w:id="21"/>
      <w:r>
        <w:rPr>
          <w:rFonts w:ascii="Times New Roman" w:hAnsi="Times New Roman" w:cs="Times New Roman"/>
          <w:color w:val="000000"/>
          <w:sz w:val="24"/>
          <w:szCs w:val="24"/>
        </w:rPr>
        <w:t xml:space="preserve">J : </w:t>
      </w:r>
      <w:r>
        <w:rPr>
          <w:rFonts w:ascii="Times New Roman" w:hAnsi="Times New Roman" w:cs="Times New Roman"/>
          <w:caps w:val="0"/>
          <w:smallCaps/>
          <w:color w:val="000000"/>
          <w:sz w:val="24"/>
          <w:szCs w:val="24"/>
        </w:rPr>
        <w:t>modalités de facturation</w:t>
      </w:r>
      <w:bookmarkEnd w:id="22"/>
    </w:p>
    <w:p>
      <w:pPr>
        <w:pStyle w:val="Normal1"/>
        <w:rPr>
          <w:color w:val="000000"/>
        </w:rPr>
      </w:pPr>
      <w:bookmarkStart w:id="23" w:name="_Toc436321886"/>
      <w:bookmarkEnd w:id="23"/>
    </w:p>
    <w:p>
      <w:pPr>
        <w:autoSpaceDE w:val="0"/>
        <w:autoSpaceDN w:val="0"/>
        <w:rPr>
          <w:rFonts w:cs="Times New Roman"/>
          <w:color w:val="000000"/>
          <w:sz w:val="24"/>
        </w:rPr>
      </w:pPr>
      <w:r>
        <w:rPr>
          <w:rFonts w:cs="Times New Roman"/>
          <w:color w:val="000000"/>
          <w:sz w:val="24"/>
        </w:rPr>
        <w:t>Les factures seront envoyées par voie dématérialisée en utilisant le portail dédié :</w:t>
      </w:r>
    </w:p>
    <w:p>
      <w:pPr>
        <w:autoSpaceDE w:val="0"/>
        <w:autoSpaceDN w:val="0"/>
        <w:rPr>
          <w:rFonts w:cs="Times New Roman"/>
          <w:color w:val="0000FF"/>
          <w:sz w:val="24"/>
        </w:rPr>
      </w:pPr>
      <w:hyperlink r:id="rId10" w:history="1">
        <w:r>
          <w:rPr>
            <w:rStyle w:val="Lienhypertexte"/>
            <w:rFonts w:cs="Times New Roman"/>
            <w:sz w:val="24"/>
          </w:rPr>
          <w:t>https://www.chorus-pro.gouv.fr</w:t>
        </w:r>
      </w:hyperlink>
    </w:p>
    <w:p>
      <w:pPr>
        <w:autoSpaceDE w:val="0"/>
        <w:autoSpaceDN w:val="0"/>
        <w:rPr>
          <w:rFonts w:cs="Times New Roman"/>
          <w:color w:val="000000"/>
          <w:sz w:val="24"/>
        </w:rPr>
      </w:pPr>
    </w:p>
    <w:p>
      <w:pPr>
        <w:autoSpaceDE w:val="0"/>
        <w:autoSpaceDN w:val="0"/>
        <w:rPr>
          <w:rFonts w:cs="Times New Roman"/>
          <w:color w:val="000000"/>
          <w:sz w:val="24"/>
        </w:rPr>
      </w:pPr>
      <w:r>
        <w:rPr>
          <w:rFonts w:cs="Times New Roman"/>
          <w:color w:val="000000"/>
          <w:sz w:val="24"/>
        </w:rPr>
        <w:t>Le titulaire, dans ce cas, doit préciser à chaque saisie de facture :</w:t>
      </w:r>
    </w:p>
    <w:p>
      <w:pPr>
        <w:autoSpaceDE w:val="0"/>
        <w:autoSpaceDN w:val="0"/>
        <w:rPr>
          <w:rFonts w:cs="Times New Roman"/>
          <w:color w:val="000000"/>
          <w:sz w:val="24"/>
        </w:rPr>
      </w:pPr>
      <w:r>
        <w:rPr>
          <w:rFonts w:cs="Times New Roman"/>
          <w:color w:val="000000"/>
          <w:sz w:val="24"/>
        </w:rPr>
        <w:t>- le numéro à 10 chiffres de l’EJ Chorus (bon de commande ou marché)</w:t>
      </w:r>
    </w:p>
    <w:p>
      <w:pPr>
        <w:autoSpaceDE w:val="0"/>
        <w:autoSpaceDN w:val="0"/>
        <w:rPr>
          <w:rFonts w:cs="Times New Roman"/>
          <w:color w:val="000000"/>
          <w:sz w:val="24"/>
        </w:rPr>
      </w:pPr>
      <w:r>
        <w:rPr>
          <w:rFonts w:cs="Times New Roman"/>
          <w:color w:val="000000"/>
          <w:sz w:val="24"/>
        </w:rPr>
        <w:t xml:space="preserve">- le code du service exécutant : </w:t>
      </w:r>
      <w:r>
        <w:rPr>
          <w:rFonts w:cs="Times New Roman"/>
          <w:b/>
          <w:bCs/>
          <w:color w:val="000000"/>
          <w:sz w:val="24"/>
        </w:rPr>
        <w:t xml:space="preserve">FAC9470075 </w:t>
      </w:r>
      <w:r>
        <w:rPr>
          <w:rFonts w:cs="Times New Roman"/>
          <w:color w:val="000000"/>
          <w:sz w:val="24"/>
        </w:rPr>
        <w:t>correspondant au service facturier</w:t>
      </w:r>
    </w:p>
    <w:p>
      <w:pPr>
        <w:autoSpaceDE w:val="0"/>
        <w:autoSpaceDN w:val="0"/>
        <w:rPr>
          <w:rFonts w:cs="Times New Roman"/>
          <w:color w:val="000000"/>
          <w:sz w:val="24"/>
        </w:rPr>
      </w:pPr>
      <w:r>
        <w:rPr>
          <w:rFonts w:cs="Times New Roman"/>
          <w:color w:val="000000"/>
          <w:sz w:val="24"/>
        </w:rPr>
        <w:t xml:space="preserve">- le SIRET destinataire : </w:t>
      </w:r>
      <w:r>
        <w:rPr>
          <w:rFonts w:cs="Times New Roman"/>
          <w:b/>
          <w:bCs/>
          <w:color w:val="000000"/>
          <w:sz w:val="24"/>
        </w:rPr>
        <w:t>110 002 011 00044</w:t>
      </w:r>
    </w:p>
    <w:p>
      <w:pPr>
        <w:pStyle w:val="Normal1"/>
        <w:jc w:val="both"/>
      </w:pPr>
      <w:r>
        <w:rPr>
          <w:color w:val="000000"/>
        </w:rPr>
        <w:lastRenderedPageBreak/>
        <w:t>Une copie est adressée au bureau SRH3C.</w:t>
      </w:r>
    </w:p>
    <w:p>
      <w:pPr>
        <w:pStyle w:val="Normal1"/>
        <w:jc w:val="both"/>
        <w:rPr>
          <w:color w:val="000000"/>
        </w:rPr>
      </w:pPr>
      <w:r>
        <w:rPr>
          <w:color w:val="000000"/>
        </w:rPr>
        <w:t>Un Relevé d’Identité Bancaire (RIB) doit être joint à la première facture. Si le titulaire change de références bancaires en cours de marché, il doit produire un nouveau RIB.</w:t>
      </w:r>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spacing w:before="363" w:after="120"/>
        <w:rPr>
          <w:caps w:val="0"/>
          <w:smallCaps/>
        </w:rPr>
      </w:pPr>
      <w:bookmarkStart w:id="24" w:name="_Toc201052729"/>
      <w:r>
        <w:rPr>
          <w:rFonts w:ascii="Times New Roman" w:hAnsi="Times New Roman" w:cs="Times New Roman"/>
          <w:color w:val="000000"/>
          <w:sz w:val="24"/>
          <w:szCs w:val="24"/>
        </w:rPr>
        <w:t xml:space="preserve">K : </w:t>
      </w:r>
      <w:r>
        <w:rPr>
          <w:rFonts w:ascii="Times New Roman" w:hAnsi="Times New Roman" w:cs="Times New Roman"/>
          <w:caps w:val="0"/>
          <w:smallCaps/>
          <w:color w:val="000000"/>
          <w:sz w:val="24"/>
          <w:szCs w:val="24"/>
        </w:rPr>
        <w:t>comptable assignataire et imputation comptable</w:t>
      </w:r>
      <w:bookmarkEnd w:id="24"/>
    </w:p>
    <w:p>
      <w:pPr>
        <w:pStyle w:val="Normal1"/>
        <w:spacing w:before="0" w:after="0"/>
      </w:pPr>
      <w:r>
        <w:rPr>
          <w:color w:val="000000"/>
        </w:rPr>
        <w:t>Le comptable assignataire est :</w:t>
      </w:r>
    </w:p>
    <w:p>
      <w:pPr>
        <w:pStyle w:val="Normal1"/>
        <w:spacing w:before="0" w:after="0"/>
        <w:ind w:left="720"/>
        <w:rPr>
          <w:color w:val="000000"/>
        </w:rPr>
      </w:pPr>
    </w:p>
    <w:p>
      <w:pPr>
        <w:pStyle w:val="Normal1"/>
        <w:spacing w:before="0" w:after="0"/>
        <w:ind w:firstLine="720"/>
        <w:jc w:val="both"/>
        <w:rPr>
          <w:color w:val="000000"/>
        </w:rPr>
      </w:pPr>
      <w:r>
        <w:rPr>
          <w:color w:val="000000"/>
        </w:rPr>
        <w:t>Le Contrôleur Budgétaire et Comptable Ministériel (CBCM)</w:t>
      </w:r>
    </w:p>
    <w:p>
      <w:pPr>
        <w:pStyle w:val="Normal1"/>
        <w:spacing w:before="0" w:after="0"/>
        <w:ind w:firstLine="720"/>
        <w:jc w:val="both"/>
        <w:rPr>
          <w:color w:val="000000"/>
        </w:rPr>
      </w:pPr>
      <w:r>
        <w:rPr>
          <w:color w:val="000000"/>
        </w:rPr>
        <w:t>Bâtiment Necker</w:t>
      </w:r>
    </w:p>
    <w:p>
      <w:pPr>
        <w:pStyle w:val="Normal1"/>
        <w:spacing w:before="0" w:after="0"/>
        <w:ind w:firstLine="720"/>
        <w:jc w:val="both"/>
        <w:rPr>
          <w:color w:val="000000"/>
        </w:rPr>
      </w:pPr>
      <w:r>
        <w:rPr>
          <w:color w:val="000000"/>
        </w:rPr>
        <w:t>Télédoc 706</w:t>
      </w:r>
    </w:p>
    <w:p>
      <w:pPr>
        <w:pStyle w:val="Normal1"/>
        <w:spacing w:before="0" w:after="0"/>
        <w:ind w:firstLine="720"/>
        <w:jc w:val="both"/>
        <w:rPr>
          <w:color w:val="000000"/>
        </w:rPr>
      </w:pPr>
      <w:r>
        <w:rPr>
          <w:color w:val="000000"/>
        </w:rPr>
        <w:t>120 rue de Bercy</w:t>
      </w:r>
    </w:p>
    <w:p>
      <w:pPr>
        <w:pStyle w:val="Normal1"/>
        <w:spacing w:before="0" w:after="0"/>
        <w:ind w:firstLine="720"/>
        <w:jc w:val="both"/>
        <w:rPr>
          <w:color w:val="000000"/>
        </w:rPr>
      </w:pPr>
      <w:r>
        <w:rPr>
          <w:color w:val="000000"/>
        </w:rPr>
        <w:t>75572 PARIS CEDEX 12.</w:t>
      </w:r>
    </w:p>
    <w:p>
      <w:pPr>
        <w:pStyle w:val="Normal1"/>
        <w:spacing w:before="363"/>
        <w:jc w:val="both"/>
        <w:rPr>
          <w:color w:val="000000"/>
          <w:spacing w:val="10"/>
        </w:rPr>
      </w:pPr>
      <w:r>
        <w:rPr>
          <w:color w:val="000000"/>
          <w:spacing w:val="10"/>
        </w:rPr>
        <w:t>L’imputation comptable est la suivante : </w:t>
      </w:r>
    </w:p>
    <w:p>
      <w:pPr>
        <w:pStyle w:val="Normal1"/>
        <w:spacing w:before="0" w:after="0"/>
        <w:ind w:firstLine="720"/>
        <w:rPr>
          <w:rFonts w:eastAsia="Calibri"/>
          <w:bCs/>
          <w:color w:val="auto"/>
          <w:lang w:eastAsia="fr-FR"/>
        </w:rPr>
      </w:pPr>
      <w:r>
        <w:rPr>
          <w:rFonts w:eastAsia="Calibri"/>
          <w:bCs/>
          <w:color w:val="auto"/>
          <w:lang w:eastAsia="fr-FR"/>
        </w:rPr>
        <w:t>Code ministère </w:t>
      </w:r>
      <w:r>
        <w:rPr>
          <w:rFonts w:eastAsia="Calibri"/>
          <w:bCs/>
          <w:color w:val="auto"/>
          <w:lang w:eastAsia="fr-FR"/>
        </w:rPr>
        <w:tab/>
        <w:t>: 07</w:t>
      </w:r>
    </w:p>
    <w:p>
      <w:pPr>
        <w:pStyle w:val="Normal1"/>
        <w:spacing w:before="0" w:after="0"/>
        <w:rPr>
          <w:rFonts w:eastAsia="Calibri"/>
          <w:bCs/>
          <w:color w:val="auto"/>
          <w:lang w:eastAsia="fr-FR"/>
        </w:rPr>
      </w:pPr>
      <w:r>
        <w:rPr>
          <w:rFonts w:eastAsia="Calibri"/>
          <w:bCs/>
          <w:color w:val="auto"/>
          <w:lang w:eastAsia="fr-FR"/>
        </w:rPr>
        <w:t>            Mission </w:t>
      </w:r>
      <w:r>
        <w:rPr>
          <w:rFonts w:eastAsia="Calibri"/>
          <w:bCs/>
          <w:color w:val="auto"/>
          <w:lang w:eastAsia="fr-FR"/>
        </w:rPr>
        <w:tab/>
      </w:r>
      <w:r>
        <w:rPr>
          <w:rFonts w:eastAsia="Calibri"/>
          <w:bCs/>
          <w:color w:val="auto"/>
          <w:lang w:eastAsia="fr-FR"/>
        </w:rPr>
        <w:tab/>
        <w:t>: Gestion des finances publiques et des ressources humaines</w:t>
      </w:r>
    </w:p>
    <w:p>
      <w:pPr>
        <w:pStyle w:val="Normal1"/>
        <w:spacing w:before="0" w:after="0"/>
        <w:rPr>
          <w:rFonts w:eastAsia="Calibri"/>
          <w:bCs/>
          <w:color w:val="auto"/>
          <w:lang w:eastAsia="fr-FR"/>
        </w:rPr>
      </w:pPr>
      <w:r>
        <w:rPr>
          <w:rFonts w:eastAsia="Calibri"/>
          <w:bCs/>
          <w:color w:val="auto"/>
          <w:lang w:eastAsia="fr-FR"/>
        </w:rPr>
        <w:t>            Programme </w:t>
      </w:r>
      <w:r>
        <w:rPr>
          <w:rFonts w:eastAsia="Calibri"/>
          <w:bCs/>
          <w:color w:val="auto"/>
          <w:lang w:eastAsia="fr-FR"/>
        </w:rPr>
        <w:tab/>
      </w:r>
      <w:r>
        <w:rPr>
          <w:rFonts w:eastAsia="Calibri"/>
          <w:bCs/>
          <w:color w:val="auto"/>
          <w:lang w:eastAsia="fr-FR"/>
        </w:rPr>
        <w:tab/>
        <w:t>: Conduite et pilotage des politiques économiques et financières</w:t>
      </w:r>
    </w:p>
    <w:p>
      <w:pPr>
        <w:pStyle w:val="Normal1"/>
        <w:spacing w:before="0" w:after="0"/>
        <w:rPr>
          <w:rFonts w:eastAsia="Calibri"/>
          <w:bCs/>
          <w:color w:val="auto"/>
          <w:lang w:eastAsia="fr-FR"/>
        </w:rPr>
      </w:pPr>
      <w:r>
        <w:rPr>
          <w:rFonts w:eastAsia="Calibri"/>
          <w:bCs/>
          <w:color w:val="auto"/>
          <w:lang w:eastAsia="fr-FR"/>
        </w:rPr>
        <w:t>            BOP </w:t>
      </w:r>
      <w:r>
        <w:rPr>
          <w:rFonts w:eastAsia="Calibri"/>
          <w:bCs/>
          <w:color w:val="auto"/>
          <w:lang w:eastAsia="fr-FR"/>
        </w:rPr>
        <w:tab/>
      </w:r>
      <w:r>
        <w:rPr>
          <w:rFonts w:eastAsia="Calibri"/>
          <w:bCs/>
          <w:color w:val="auto"/>
          <w:lang w:eastAsia="fr-FR"/>
        </w:rPr>
        <w:tab/>
      </w:r>
      <w:r>
        <w:rPr>
          <w:rFonts w:eastAsia="Calibri"/>
          <w:bCs/>
          <w:color w:val="auto"/>
          <w:lang w:eastAsia="fr-FR"/>
        </w:rPr>
        <w:tab/>
        <w:t>: 0218-CESG</w:t>
      </w:r>
    </w:p>
    <w:p>
      <w:pPr>
        <w:pStyle w:val="Normal1"/>
        <w:spacing w:before="0" w:after="0"/>
        <w:rPr>
          <w:rFonts w:eastAsia="Calibri"/>
          <w:bCs/>
          <w:color w:val="auto"/>
          <w:lang w:eastAsia="fr-FR"/>
        </w:rPr>
      </w:pPr>
      <w:r>
        <w:rPr>
          <w:rFonts w:eastAsia="Calibri"/>
          <w:bCs/>
          <w:color w:val="auto"/>
          <w:lang w:eastAsia="fr-FR"/>
        </w:rPr>
        <w:t>            UO </w:t>
      </w:r>
      <w:r>
        <w:rPr>
          <w:rFonts w:eastAsia="Calibri"/>
          <w:bCs/>
          <w:color w:val="auto"/>
          <w:lang w:eastAsia="fr-FR"/>
        </w:rPr>
        <w:tab/>
      </w:r>
      <w:r>
        <w:rPr>
          <w:rFonts w:eastAsia="Calibri"/>
          <w:bCs/>
          <w:color w:val="auto"/>
          <w:lang w:eastAsia="fr-FR"/>
        </w:rPr>
        <w:tab/>
      </w:r>
      <w:r>
        <w:rPr>
          <w:rFonts w:eastAsia="Calibri"/>
          <w:bCs/>
          <w:color w:val="auto"/>
          <w:lang w:eastAsia="fr-FR"/>
        </w:rPr>
        <w:tab/>
        <w:t>: 0218-CESG-CRH3</w:t>
      </w:r>
    </w:p>
    <w:p>
      <w:pPr>
        <w:pStyle w:val="Normal1"/>
        <w:spacing w:before="0" w:after="0"/>
        <w:ind w:firstLine="720"/>
        <w:rPr>
          <w:rFonts w:eastAsia="Calibri"/>
          <w:bCs/>
          <w:color w:val="auto"/>
          <w:lang w:eastAsia="fr-FR"/>
        </w:rPr>
      </w:pPr>
      <w:r>
        <w:rPr>
          <w:rFonts w:eastAsia="Calibri"/>
          <w:bCs/>
          <w:color w:val="auto"/>
          <w:lang w:eastAsia="fr-FR"/>
        </w:rPr>
        <w:t xml:space="preserve">Centre de coûts </w:t>
      </w:r>
      <w:r>
        <w:rPr>
          <w:rFonts w:eastAsia="Calibri"/>
          <w:bCs/>
          <w:color w:val="auto"/>
          <w:lang w:eastAsia="fr-FR"/>
        </w:rPr>
        <w:tab/>
        <w:t>: FINPE3A075</w:t>
      </w:r>
    </w:p>
    <w:p>
      <w:pPr>
        <w:pStyle w:val="Normal1"/>
        <w:spacing w:before="0" w:after="0"/>
        <w:rPr>
          <w:rFonts w:eastAsia="Calibri"/>
          <w:bCs/>
          <w:color w:val="auto"/>
          <w:lang w:eastAsia="fr-FR"/>
        </w:rPr>
      </w:pPr>
      <w:r>
        <w:rPr>
          <w:rFonts w:eastAsia="Calibri"/>
          <w:bCs/>
          <w:color w:val="auto"/>
          <w:lang w:eastAsia="fr-FR"/>
        </w:rPr>
        <w:t>            PCE </w:t>
      </w:r>
      <w:r>
        <w:rPr>
          <w:rFonts w:eastAsia="Calibri"/>
          <w:bCs/>
          <w:color w:val="auto"/>
          <w:lang w:eastAsia="fr-FR"/>
        </w:rPr>
        <w:tab/>
      </w:r>
      <w:r>
        <w:rPr>
          <w:rFonts w:eastAsia="Calibri"/>
          <w:bCs/>
          <w:color w:val="auto"/>
          <w:lang w:eastAsia="fr-FR"/>
        </w:rPr>
        <w:tab/>
      </w:r>
      <w:r>
        <w:rPr>
          <w:rFonts w:eastAsia="Calibri"/>
          <w:bCs/>
          <w:color w:val="auto"/>
          <w:lang w:eastAsia="fr-FR"/>
        </w:rPr>
        <w:tab/>
        <w:t>: 6066500000</w:t>
      </w:r>
    </w:p>
    <w:p>
      <w:pPr>
        <w:pStyle w:val="Normal1"/>
        <w:spacing w:before="0" w:after="0"/>
        <w:rPr>
          <w:rFonts w:eastAsia="Calibri"/>
          <w:bCs/>
          <w:color w:val="auto"/>
          <w:lang w:eastAsia="fr-FR"/>
        </w:rPr>
      </w:pPr>
      <w:r>
        <w:rPr>
          <w:rFonts w:eastAsia="Calibri"/>
          <w:bCs/>
          <w:color w:val="auto"/>
          <w:lang w:eastAsia="fr-FR"/>
        </w:rPr>
        <w:t>            Activité </w:t>
      </w:r>
      <w:r>
        <w:rPr>
          <w:rFonts w:eastAsia="Calibri"/>
          <w:bCs/>
          <w:color w:val="auto"/>
          <w:lang w:eastAsia="fr-FR"/>
        </w:rPr>
        <w:tab/>
      </w:r>
      <w:r>
        <w:rPr>
          <w:rFonts w:eastAsia="Calibri"/>
          <w:bCs/>
          <w:color w:val="auto"/>
          <w:lang w:eastAsia="fr-FR"/>
        </w:rPr>
        <w:tab/>
        <w:t>: 021807010124</w:t>
      </w:r>
    </w:p>
    <w:p>
      <w:pPr>
        <w:pStyle w:val="Normal1"/>
        <w:spacing w:before="0" w:after="0"/>
        <w:rPr>
          <w:rFonts w:eastAsia="Calibri"/>
          <w:bCs/>
          <w:color w:val="auto"/>
          <w:lang w:eastAsia="fr-FR"/>
        </w:rPr>
      </w:pPr>
      <w:r>
        <w:rPr>
          <w:rFonts w:eastAsia="Calibri"/>
          <w:bCs/>
          <w:color w:val="auto"/>
          <w:lang w:eastAsia="fr-FR"/>
        </w:rPr>
        <w:t>            Groupe marchandise </w:t>
      </w:r>
      <w:r>
        <w:rPr>
          <w:rFonts w:eastAsia="Calibri"/>
          <w:bCs/>
          <w:color w:val="auto"/>
          <w:lang w:eastAsia="fr-FR"/>
        </w:rPr>
        <w:tab/>
        <w:t>: 41.04.06 équipement de restauration collective</w:t>
      </w:r>
    </w:p>
    <w:p>
      <w:pPr>
        <w:pStyle w:val="Normal1"/>
        <w:spacing w:before="0" w:after="0"/>
        <w:ind w:firstLine="720"/>
        <w:rPr>
          <w:rFonts w:eastAsia="Calibri"/>
          <w:bCs/>
          <w:color w:val="auto"/>
          <w:lang w:eastAsia="fr-FR"/>
        </w:rPr>
      </w:pPr>
      <w:r>
        <w:t>Code CPV principal </w:t>
      </w:r>
      <w:r>
        <w:tab/>
        <w:t>: </w:t>
      </w:r>
      <w:r>
        <w:rPr>
          <w:rFonts w:ascii="Arial" w:hAnsi="Arial" w:cs="Arial"/>
          <w:b/>
          <w:color w:val="000000" w:themeColor="text1"/>
          <w:sz w:val="21"/>
          <w:szCs w:val="21"/>
          <w:shd w:val="clear" w:color="auto" w:fill="FFFFFF"/>
        </w:rPr>
        <w:t>39221000-7</w:t>
      </w:r>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spacing w:before="363" w:after="120"/>
        <w:rPr>
          <w:caps w:val="0"/>
          <w:smallCaps/>
        </w:rPr>
      </w:pPr>
      <w:bookmarkStart w:id="25" w:name="_Toc436321887"/>
      <w:bookmarkStart w:id="26" w:name="_Toc201052730"/>
      <w:bookmarkEnd w:id="25"/>
      <w:r>
        <w:rPr>
          <w:rFonts w:ascii="Times New Roman" w:hAnsi="Times New Roman" w:cs="Times New Roman"/>
          <w:color w:val="000000"/>
          <w:sz w:val="24"/>
          <w:szCs w:val="24"/>
        </w:rPr>
        <w:t xml:space="preserve">L : </w:t>
      </w:r>
      <w:r>
        <w:rPr>
          <w:rFonts w:ascii="Times New Roman" w:hAnsi="Times New Roman" w:cs="Times New Roman"/>
          <w:caps w:val="0"/>
          <w:smallCaps/>
          <w:color w:val="000000"/>
          <w:sz w:val="24"/>
          <w:szCs w:val="24"/>
        </w:rPr>
        <w:t>pénalités</w:t>
      </w:r>
      <w:bookmarkEnd w:id="26"/>
    </w:p>
    <w:p>
      <w:pPr>
        <w:pStyle w:val="Normal1"/>
        <w:jc w:val="both"/>
      </w:pPr>
    </w:p>
    <w:p>
      <w:pPr>
        <w:pStyle w:val="Normal1"/>
        <w:jc w:val="both"/>
      </w:pPr>
      <w:r>
        <w:t>En cas de non-respect des délais d’exécution, le titulaire se verra appliquer des pénalités de retard. Ces pénalités interviendront de plein droit sur simple constatation de la non-exécution de la prestation sans qu’il soit nécessaire de procéder à une mise en demeure préalable.</w:t>
      </w:r>
    </w:p>
    <w:p>
      <w:pPr>
        <w:pStyle w:val="Normal1"/>
        <w:jc w:val="both"/>
      </w:pPr>
      <w:r>
        <w:t xml:space="preserve">En cas de retard, et par dérogation à l’article 14 du CCAG-FOURNITURES ET SERVICES, une retenue égale à </w:t>
      </w:r>
      <w:r>
        <w:rPr>
          <w:color w:val="auto"/>
        </w:rPr>
        <w:t>500</w:t>
      </w:r>
      <w:r>
        <w:t xml:space="preserve"> € TTC par jour calendaire sera opérée sur les sommes dues au titulaire.</w:t>
      </w:r>
    </w:p>
    <w:p>
      <w:pPr>
        <w:pStyle w:val="Normal1"/>
        <w:jc w:val="both"/>
      </w:pPr>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spacing w:before="363" w:after="120"/>
        <w:jc w:val="both"/>
        <w:rPr>
          <w:rFonts w:ascii="Times New Roman" w:hAnsi="Times New Roman" w:cs="Times New Roman"/>
          <w:caps w:val="0"/>
          <w:smallCaps/>
          <w:color w:val="000000"/>
          <w:sz w:val="24"/>
          <w:szCs w:val="24"/>
        </w:rPr>
      </w:pPr>
      <w:bookmarkStart w:id="27" w:name="_Toc4363218872"/>
      <w:bookmarkStart w:id="28" w:name="_Toc201052731"/>
      <w:r>
        <w:rPr>
          <w:rFonts w:ascii="Times New Roman" w:hAnsi="Times New Roman" w:cs="Times New Roman"/>
          <w:color w:val="000000"/>
          <w:sz w:val="24"/>
          <w:szCs w:val="24"/>
        </w:rPr>
        <w:t xml:space="preserve">M : </w:t>
      </w:r>
      <w:bookmarkEnd w:id="27"/>
      <w:r>
        <w:rPr>
          <w:rFonts w:ascii="Times New Roman" w:hAnsi="Times New Roman" w:cs="Times New Roman"/>
          <w:caps w:val="0"/>
          <w:smallCaps/>
          <w:color w:val="000000"/>
          <w:sz w:val="24"/>
          <w:szCs w:val="24"/>
        </w:rPr>
        <w:t>langue du marché</w:t>
      </w:r>
      <w:bookmarkEnd w:id="28"/>
    </w:p>
    <w:p>
      <w:pPr>
        <w:pStyle w:val="Normal1"/>
        <w:spacing w:before="40" w:after="40"/>
        <w:jc w:val="both"/>
      </w:pPr>
    </w:p>
    <w:p>
      <w:pPr>
        <w:pStyle w:val="Normal1"/>
        <w:jc w:val="both"/>
      </w:pPr>
      <w:r>
        <w:t>Le marché est rédigé en langue française. Tout prospectus, correspondance et autres documents concernant le marché qui seront échangés entre les parties, seront rédigés en français.</w:t>
      </w:r>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spacing w:before="363" w:after="120"/>
        <w:jc w:val="both"/>
        <w:rPr>
          <w:rFonts w:ascii="Times New Roman" w:hAnsi="Times New Roman" w:cs="Times New Roman"/>
          <w:caps w:val="0"/>
          <w:smallCaps/>
          <w:color w:val="000000"/>
          <w:sz w:val="24"/>
          <w:szCs w:val="24"/>
        </w:rPr>
      </w:pPr>
      <w:bookmarkStart w:id="29" w:name="_Toc436321888"/>
      <w:bookmarkStart w:id="30" w:name="_Toc201052732"/>
      <w:bookmarkEnd w:id="29"/>
      <w:r>
        <w:rPr>
          <w:rFonts w:ascii="Times New Roman" w:hAnsi="Times New Roman" w:cs="Times New Roman"/>
          <w:color w:val="000000"/>
          <w:sz w:val="24"/>
          <w:szCs w:val="24"/>
        </w:rPr>
        <w:t>N </w:t>
      </w:r>
      <w:r>
        <w:rPr>
          <w:rFonts w:ascii="Times New Roman" w:hAnsi="Times New Roman" w:cs="Times New Roman"/>
          <w:caps w:val="0"/>
          <w:smallCaps/>
          <w:color w:val="000000"/>
          <w:sz w:val="24"/>
          <w:szCs w:val="24"/>
        </w:rPr>
        <w:t>: dérogations aux documents généraux</w:t>
      </w:r>
      <w:bookmarkEnd w:id="30"/>
    </w:p>
    <w:p>
      <w:pPr>
        <w:pStyle w:val="NormalWeb"/>
        <w:spacing w:before="40" w:after="40"/>
        <w:ind w:left="567"/>
        <w:rPr>
          <w:color w:val="FF0000"/>
        </w:rPr>
      </w:pPr>
    </w:p>
    <w:tbl>
      <w:tblPr>
        <w:tblStyle w:val="Grilledutableau"/>
        <w:tblW w:w="9747" w:type="dxa"/>
        <w:tblInd w:w="-40" w:type="dxa"/>
        <w:tblCellMar>
          <w:left w:w="68" w:type="dxa"/>
        </w:tblCellMar>
        <w:tblLook w:val="04A0" w:firstRow="1" w:lastRow="0" w:firstColumn="1" w:lastColumn="0" w:noHBand="0" w:noVBand="1"/>
      </w:tblPr>
      <w:tblGrid>
        <w:gridCol w:w="4928"/>
        <w:gridCol w:w="4819"/>
      </w:tblGrid>
      <w:tr>
        <w:tc>
          <w:tcPr>
            <w:tcW w:w="4927" w:type="dxa"/>
            <w:shd w:val="clear" w:color="auto" w:fill="auto"/>
            <w:tcMar>
              <w:left w:w="68" w:type="dxa"/>
            </w:tcMar>
          </w:tcPr>
          <w:p>
            <w:pPr>
              <w:pStyle w:val="Normal1"/>
              <w:suppressAutoHyphens w:val="0"/>
              <w:jc w:val="center"/>
              <w:textAlignment w:val="auto"/>
            </w:pPr>
            <w:r>
              <w:rPr>
                <w:rFonts w:eastAsiaTheme="minorHAnsi" w:cstheme="minorBidi"/>
                <w:sz w:val="22"/>
              </w:rPr>
              <w:t>Article du CCAG/FOURNITURES ET SERVICES auquel il est dérogé</w:t>
            </w:r>
          </w:p>
        </w:tc>
        <w:tc>
          <w:tcPr>
            <w:tcW w:w="4819" w:type="dxa"/>
            <w:shd w:val="clear" w:color="auto" w:fill="auto"/>
            <w:tcMar>
              <w:left w:w="68" w:type="dxa"/>
            </w:tcMar>
          </w:tcPr>
          <w:p>
            <w:pPr>
              <w:pStyle w:val="Normal1"/>
              <w:suppressAutoHyphens w:val="0"/>
              <w:jc w:val="center"/>
              <w:textAlignment w:val="auto"/>
            </w:pPr>
            <w:r>
              <w:rPr>
                <w:rFonts w:eastAsiaTheme="minorHAnsi" w:cstheme="minorBidi"/>
                <w:sz w:val="22"/>
              </w:rPr>
              <w:t>Cadre par lequel est introduite la dérogation</w:t>
            </w:r>
          </w:p>
          <w:p>
            <w:pPr>
              <w:pStyle w:val="Normal1"/>
              <w:suppressAutoHyphens w:val="0"/>
              <w:jc w:val="center"/>
              <w:textAlignment w:val="auto"/>
              <w:rPr>
                <w:rFonts w:eastAsiaTheme="minorHAnsi" w:cstheme="minorBidi"/>
                <w:sz w:val="22"/>
              </w:rPr>
            </w:pPr>
          </w:p>
        </w:tc>
      </w:tr>
      <w:tr>
        <w:tc>
          <w:tcPr>
            <w:tcW w:w="4927" w:type="dxa"/>
            <w:shd w:val="clear" w:color="auto" w:fill="auto"/>
            <w:tcMar>
              <w:left w:w="68" w:type="dxa"/>
            </w:tcMar>
          </w:tcPr>
          <w:p>
            <w:pPr>
              <w:pStyle w:val="Normal1"/>
              <w:suppressAutoHyphens w:val="0"/>
              <w:jc w:val="center"/>
              <w:textAlignment w:val="auto"/>
              <w:rPr>
                <w:rFonts w:eastAsiaTheme="minorHAnsi" w:cstheme="minorBidi"/>
                <w:sz w:val="22"/>
              </w:rPr>
            </w:pPr>
            <w:r>
              <w:rPr>
                <w:rFonts w:eastAsiaTheme="minorHAnsi" w:cstheme="minorBidi"/>
                <w:sz w:val="22"/>
              </w:rPr>
              <w:lastRenderedPageBreak/>
              <w:t>14</w:t>
            </w:r>
          </w:p>
        </w:tc>
        <w:tc>
          <w:tcPr>
            <w:tcW w:w="4819" w:type="dxa"/>
            <w:shd w:val="clear" w:color="auto" w:fill="auto"/>
            <w:tcMar>
              <w:left w:w="68" w:type="dxa"/>
            </w:tcMar>
          </w:tcPr>
          <w:p>
            <w:pPr>
              <w:pStyle w:val="Normal1"/>
              <w:suppressAutoHyphens w:val="0"/>
              <w:jc w:val="center"/>
              <w:textAlignment w:val="auto"/>
              <w:rPr>
                <w:rFonts w:eastAsiaTheme="minorHAnsi" w:cstheme="minorBidi"/>
                <w:sz w:val="22"/>
              </w:rPr>
            </w:pPr>
            <w:r>
              <w:rPr>
                <w:rFonts w:eastAsiaTheme="minorHAnsi" w:cstheme="minorBidi"/>
                <w:sz w:val="22"/>
              </w:rPr>
              <w:t>Cadre L du présent document</w:t>
            </w:r>
          </w:p>
        </w:tc>
      </w:tr>
      <w:tr>
        <w:tc>
          <w:tcPr>
            <w:tcW w:w="4927" w:type="dxa"/>
            <w:shd w:val="clear" w:color="auto" w:fill="auto"/>
            <w:tcMar>
              <w:left w:w="68" w:type="dxa"/>
            </w:tcMar>
          </w:tcPr>
          <w:p>
            <w:pPr>
              <w:pStyle w:val="Normal1"/>
              <w:suppressAutoHyphens w:val="0"/>
              <w:jc w:val="center"/>
              <w:textAlignment w:val="auto"/>
              <w:rPr>
                <w:rFonts w:eastAsiaTheme="minorHAnsi" w:cstheme="minorBidi"/>
                <w:sz w:val="22"/>
              </w:rPr>
            </w:pPr>
            <w:r>
              <w:rPr>
                <w:rFonts w:eastAsiaTheme="minorHAnsi" w:cstheme="minorBidi"/>
                <w:sz w:val="22"/>
              </w:rPr>
              <w:t>28</w:t>
            </w:r>
          </w:p>
        </w:tc>
        <w:tc>
          <w:tcPr>
            <w:tcW w:w="4819" w:type="dxa"/>
            <w:shd w:val="clear" w:color="auto" w:fill="auto"/>
            <w:tcMar>
              <w:left w:w="68" w:type="dxa"/>
            </w:tcMar>
          </w:tcPr>
          <w:p>
            <w:pPr>
              <w:pStyle w:val="Normal1"/>
              <w:suppressAutoHyphens w:val="0"/>
              <w:jc w:val="center"/>
              <w:textAlignment w:val="auto"/>
            </w:pPr>
            <w:r>
              <w:rPr>
                <w:rFonts w:eastAsiaTheme="minorHAnsi" w:cstheme="minorBidi"/>
                <w:sz w:val="22"/>
              </w:rPr>
              <w:t>Cadre T du présent document</w:t>
            </w:r>
          </w:p>
        </w:tc>
      </w:tr>
    </w:tbl>
    <w:p>
      <w:pPr>
        <w:pStyle w:val="Normal1"/>
        <w:jc w:val="both"/>
      </w:pPr>
      <w:r>
        <w:t>En cas de dispositions contradictoires, les clauses du présent cahier des clauses particulières prévalent sur celles du CCAG/FOURNITURES ET SERVICES.</w:t>
      </w:r>
    </w:p>
    <w:p>
      <w:pPr>
        <w:pStyle w:val="Titre1"/>
        <w:pBdr>
          <w:top w:val="single" w:sz="4" w:space="1" w:color="000001"/>
          <w:left w:val="single" w:sz="4" w:space="3" w:color="000001"/>
          <w:bottom w:val="single" w:sz="4" w:space="1" w:color="000001"/>
          <w:right w:val="single" w:sz="4" w:space="4" w:color="000001"/>
        </w:pBdr>
        <w:shd w:val="clear" w:color="auto" w:fill="F2F2F2" w:themeFill="background1" w:themeFillShade="F2"/>
        <w:spacing w:before="360" w:after="120"/>
        <w:rPr>
          <w:caps w:val="0"/>
          <w:smallCaps/>
        </w:rPr>
      </w:pPr>
      <w:bookmarkStart w:id="31" w:name="_Toc436321889"/>
      <w:bookmarkStart w:id="32" w:name="_Toc436321895"/>
      <w:bookmarkStart w:id="33" w:name="_Toc201052733"/>
      <w:bookmarkEnd w:id="31"/>
      <w:bookmarkEnd w:id="32"/>
      <w:r>
        <w:rPr>
          <w:rFonts w:ascii="Times New Roman" w:hAnsi="Times New Roman" w:cs="Times New Roman"/>
          <w:color w:val="000000"/>
          <w:sz w:val="24"/>
          <w:szCs w:val="24"/>
        </w:rPr>
        <w:t xml:space="preserve">O : </w:t>
      </w:r>
      <w:r>
        <w:rPr>
          <w:rFonts w:ascii="Times New Roman" w:hAnsi="Times New Roman" w:cs="Times New Roman"/>
          <w:caps w:val="0"/>
          <w:smallCaps/>
          <w:color w:val="000000"/>
          <w:sz w:val="24"/>
          <w:szCs w:val="24"/>
        </w:rPr>
        <w:t>documents à fournir</w:t>
      </w:r>
      <w:bookmarkEnd w:id="33"/>
    </w:p>
    <w:p>
      <w:pPr>
        <w:pStyle w:val="Normal1"/>
        <w:rPr>
          <w:rFonts w:ascii="Calibri" w:hAnsi="Calibri"/>
          <w:color w:val="000000"/>
          <w:sz w:val="20"/>
        </w:rPr>
      </w:pPr>
    </w:p>
    <w:p>
      <w:pPr>
        <w:pStyle w:val="Normal1"/>
      </w:pPr>
      <w:r>
        <w:rPr>
          <w:color w:val="000000"/>
        </w:rPr>
        <w:t>Les matériels seront accompagnés de tous les documents techniques et de sécurité s’y rapportant ainsi que les notices d’utilisation. Ces documents seront rédigés en langue française.</w:t>
      </w:r>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spacing w:before="363" w:after="120"/>
        <w:jc w:val="both"/>
        <w:rPr>
          <w:caps w:val="0"/>
          <w:smallCaps/>
        </w:rPr>
      </w:pPr>
      <w:bookmarkStart w:id="34" w:name="_Toc436321905"/>
      <w:bookmarkStart w:id="35" w:name="_Toc201052734"/>
      <w:bookmarkEnd w:id="34"/>
      <w:r>
        <w:rPr>
          <w:rFonts w:ascii="Times New Roman" w:hAnsi="Times New Roman" w:cs="Times New Roman"/>
          <w:color w:val="000000"/>
          <w:sz w:val="24"/>
          <w:szCs w:val="24"/>
        </w:rPr>
        <w:t xml:space="preserve">P : </w:t>
      </w:r>
      <w:r>
        <w:rPr>
          <w:rFonts w:ascii="Times New Roman" w:hAnsi="Times New Roman" w:cs="Times New Roman"/>
          <w:caps w:val="0"/>
          <w:smallCaps/>
          <w:color w:val="000000"/>
          <w:sz w:val="24"/>
          <w:szCs w:val="24"/>
        </w:rPr>
        <w:t>livraison</w:t>
      </w:r>
      <w:bookmarkEnd w:id="35"/>
    </w:p>
    <w:p>
      <w:pPr>
        <w:pStyle w:val="Normal1"/>
        <w:spacing w:before="40" w:after="40"/>
        <w:jc w:val="both"/>
        <w:rPr>
          <w:b/>
          <w:color w:val="800000"/>
          <w:sz w:val="20"/>
        </w:rPr>
      </w:pPr>
    </w:p>
    <w:p>
      <w:pPr>
        <w:pStyle w:val="Normal1"/>
        <w:spacing w:before="40" w:after="40"/>
        <w:ind w:right="113"/>
        <w:jc w:val="both"/>
        <w:rPr>
          <w:color w:val="000000"/>
          <w:spacing w:val="4"/>
        </w:rPr>
      </w:pPr>
      <w:r>
        <w:rPr>
          <w:color w:val="000000"/>
        </w:rPr>
        <w:t xml:space="preserve">Les livraisons seront effectuées par le titulaire, sous sa responsabilité, dans les locaux du restaurant administratif : </w:t>
      </w:r>
      <w:r>
        <w:rPr>
          <w:spacing w:val="4"/>
        </w:rPr>
        <w:t>5 allée Georges Pompidou – 94300 VINCENNES</w:t>
      </w:r>
    </w:p>
    <w:p>
      <w:pPr>
        <w:pStyle w:val="Normal1"/>
        <w:jc w:val="both"/>
      </w:pPr>
      <w:r>
        <w:t>Le titulaire devra prendre rendez-vous avec le responsable du restaurant ou son représentant, afin de confirmer les dates et heures de ses interventions. Il devra se rapprocher dans un premier temps des responsables techniques qui seront désignés par le pouvoir adjudicateur ultérieurement.</w:t>
      </w:r>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spacing w:before="363" w:after="120"/>
        <w:jc w:val="both"/>
      </w:pPr>
      <w:bookmarkStart w:id="36" w:name="_Toc201052735"/>
      <w:r>
        <w:rPr>
          <w:rFonts w:ascii="Times New Roman" w:hAnsi="Times New Roman" w:cs="Times New Roman"/>
          <w:color w:val="000000"/>
          <w:sz w:val="24"/>
          <w:szCs w:val="24"/>
        </w:rPr>
        <w:t xml:space="preserve">Q : </w:t>
      </w:r>
      <w:r>
        <w:rPr>
          <w:rFonts w:ascii="Times New Roman" w:hAnsi="Times New Roman" w:cs="Times New Roman"/>
          <w:caps w:val="0"/>
          <w:smallCaps/>
          <w:color w:val="000000"/>
          <w:sz w:val="24"/>
          <w:szCs w:val="24"/>
        </w:rPr>
        <w:t>installation et protection des ouvrages</w:t>
      </w:r>
      <w:bookmarkEnd w:id="36"/>
    </w:p>
    <w:p>
      <w:pPr>
        <w:pStyle w:val="Normal1"/>
        <w:spacing w:before="40" w:after="40"/>
        <w:jc w:val="both"/>
        <w:rPr>
          <w:b/>
          <w:sz w:val="22"/>
        </w:rPr>
      </w:pPr>
    </w:p>
    <w:p>
      <w:pPr>
        <w:pStyle w:val="Normal1"/>
        <w:jc w:val="both"/>
      </w:pPr>
      <w:r>
        <w:t>Tous les équipements sont prévus complètement installés, y compris toutes fournitures, façons et accessoires en ordre de marche. Le titulaire procédera à l’acheminement du matériel dans les locaux, à leur mise en place et au nettoyage de la zone de travail (cartons…). Il protégera les matériels livrés et installés sous emballages cartons ou films plastiques jusqu’à la mise en service.</w:t>
      </w:r>
    </w:p>
    <w:p>
      <w:pPr>
        <w:pStyle w:val="Normal1"/>
        <w:spacing w:before="40" w:after="40"/>
        <w:jc w:val="both"/>
      </w:pPr>
      <w:r>
        <w:t>Les attentes sont existantes ; toutefois, le titulaire sera chargé de réaliser lui-même les raccordements électriques et en eau, pour assurer l’alimentation correcte des appareils qui seront livrés.</w:t>
      </w:r>
    </w:p>
    <w:p>
      <w:pPr>
        <w:spacing w:after="120"/>
        <w:jc w:val="both"/>
        <w:rPr>
          <w:rFonts w:cs="Times New Roman"/>
          <w:sz w:val="24"/>
        </w:rPr>
      </w:pPr>
      <w:r>
        <w:rPr>
          <w:rFonts w:cs="Times New Roman"/>
          <w:sz w:val="24"/>
        </w:rPr>
        <w:t>L’entreprise devra assurer la protection de ses ouvrages par tout moyen de son choix, que ce soit contre les intempéries, la détérioration par la chute d'objets, le vol, etc.</w:t>
      </w:r>
    </w:p>
    <w:p>
      <w:pPr>
        <w:spacing w:after="120"/>
        <w:jc w:val="both"/>
        <w:rPr>
          <w:rFonts w:cs="Times New Roman"/>
          <w:sz w:val="24"/>
        </w:rPr>
      </w:pPr>
      <w:r>
        <w:rPr>
          <w:rFonts w:cs="Times New Roman"/>
          <w:sz w:val="24"/>
        </w:rPr>
        <w:t>En cours de chantier, l’entrepreneur devra toujours immédiatement après exécution de ses travaux, procéder à l’enlèvement des gravois de ses travaux et au balayage des locaux.</w:t>
      </w:r>
    </w:p>
    <w:p>
      <w:pPr>
        <w:spacing w:after="120"/>
        <w:jc w:val="both"/>
        <w:rPr>
          <w:rFonts w:cs="Times New Roman"/>
          <w:sz w:val="24"/>
        </w:rPr>
      </w:pPr>
      <w:r>
        <w:rPr>
          <w:rFonts w:cs="Times New Roman"/>
          <w:sz w:val="24"/>
        </w:rPr>
        <w:t>L’entrepreneur assurera la gestion des déchets. Cette prestation comprend l’enlèvement des matériels obsolètes, le stockage à minima en concertation avec le maître d’ouvrage et la desserte en décharge contrôlée. Il n’y aura pas de stockage possible en local technique.</w:t>
      </w:r>
    </w:p>
    <w:p>
      <w:pPr>
        <w:spacing w:after="120"/>
        <w:jc w:val="both"/>
        <w:rPr>
          <w:rFonts w:cs="Times New Roman"/>
          <w:sz w:val="24"/>
        </w:rPr>
      </w:pPr>
      <w:r>
        <w:rPr>
          <w:rFonts w:cs="Times New Roman"/>
          <w:sz w:val="24"/>
        </w:rPr>
        <w:t>Avant la mise en service, pour la réception, l’entrepreneur procèdera au nettoyage permettant de faire disparaître les tâches de peinture, d’huile, de colle…</w:t>
      </w:r>
    </w:p>
    <w:p>
      <w:pPr>
        <w:spacing w:after="120"/>
        <w:jc w:val="both"/>
        <w:rPr>
          <w:rFonts w:cs="Times New Roman"/>
          <w:sz w:val="24"/>
        </w:rPr>
      </w:pPr>
      <w:r>
        <w:rPr>
          <w:rFonts w:cs="Times New Roman"/>
          <w:sz w:val="24"/>
        </w:rPr>
        <w:t>Les produits employés et les moyens de mise en œuvre devront être adaptés et ne pas provoquer d’altération sur les ouvrages.</w:t>
      </w:r>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spacing w:before="363" w:after="120"/>
        <w:jc w:val="both"/>
        <w:rPr>
          <w:caps w:val="0"/>
          <w:smallCaps/>
        </w:rPr>
      </w:pPr>
      <w:bookmarkStart w:id="37" w:name="_Toc201052736"/>
      <w:r>
        <w:rPr>
          <w:rFonts w:ascii="Times New Roman" w:hAnsi="Times New Roman" w:cs="Times New Roman"/>
          <w:color w:val="000000"/>
          <w:sz w:val="24"/>
          <w:szCs w:val="24"/>
        </w:rPr>
        <w:t xml:space="preserve">R : </w:t>
      </w:r>
      <w:r>
        <w:rPr>
          <w:rFonts w:ascii="Times New Roman" w:hAnsi="Times New Roman" w:cs="Times New Roman"/>
          <w:caps w:val="0"/>
          <w:smallCaps/>
          <w:color w:val="000000"/>
          <w:sz w:val="24"/>
          <w:szCs w:val="24"/>
        </w:rPr>
        <w:t>vérifications et réception</w:t>
      </w:r>
      <w:bookmarkEnd w:id="37"/>
      <w:r>
        <w:rPr>
          <w:rFonts w:ascii="Times New Roman" w:hAnsi="Times New Roman" w:cs="Times New Roman"/>
          <w:caps w:val="0"/>
          <w:smallCaps/>
          <w:color w:val="000000"/>
          <w:sz w:val="24"/>
          <w:szCs w:val="24"/>
        </w:rPr>
        <w:t xml:space="preserve"> </w:t>
      </w:r>
    </w:p>
    <w:p>
      <w:pPr>
        <w:spacing w:after="120"/>
        <w:jc w:val="both"/>
        <w:rPr>
          <w:rFonts w:cs="Times New Roman"/>
          <w:sz w:val="24"/>
        </w:rPr>
      </w:pPr>
    </w:p>
    <w:p>
      <w:pPr>
        <w:spacing w:after="120"/>
        <w:jc w:val="both"/>
        <w:rPr>
          <w:rFonts w:cs="Times New Roman"/>
          <w:sz w:val="24"/>
        </w:rPr>
      </w:pPr>
      <w:r>
        <w:rPr>
          <w:rFonts w:cs="Times New Roman"/>
          <w:sz w:val="24"/>
        </w:rPr>
        <w:t xml:space="preserve">Les essais des équipements seront à effectuer dans des conditions aussi proches que possible des conditions d’exploitation. </w:t>
      </w:r>
    </w:p>
    <w:p>
      <w:pPr>
        <w:spacing w:after="120"/>
        <w:jc w:val="both"/>
        <w:rPr>
          <w:rFonts w:cs="Times New Roman"/>
          <w:sz w:val="24"/>
        </w:rPr>
      </w:pPr>
      <w:r>
        <w:rPr>
          <w:rFonts w:cs="Times New Roman"/>
          <w:sz w:val="24"/>
        </w:rPr>
        <w:lastRenderedPageBreak/>
        <w:t>Elles devront permettre une qualité de fonctionnement au moins égale à celle demandée.</w:t>
      </w:r>
    </w:p>
    <w:p>
      <w:pPr>
        <w:spacing w:after="120"/>
        <w:jc w:val="both"/>
        <w:rPr>
          <w:rFonts w:cs="Times New Roman"/>
          <w:sz w:val="24"/>
        </w:rPr>
      </w:pPr>
      <w:r>
        <w:rPr>
          <w:rFonts w:cs="Times New Roman"/>
          <w:sz w:val="24"/>
        </w:rPr>
        <w:t>Tous les matériaux et travaux présentant des défectuosités seront refusés et toutes conséquences de ce refus (démontages, enlèvements, réparations, retards, etc.) seront à la charge du titulaire du marché.</w:t>
      </w:r>
    </w:p>
    <w:p>
      <w:pPr>
        <w:spacing w:after="120"/>
        <w:jc w:val="both"/>
        <w:rPr>
          <w:rFonts w:cs="Times New Roman"/>
          <w:sz w:val="24"/>
        </w:rPr>
      </w:pPr>
      <w:r>
        <w:rPr>
          <w:rFonts w:cs="Times New Roman"/>
          <w:sz w:val="24"/>
        </w:rPr>
        <w:t>La vérification de la qualité des matériaux employés pourra être faite à tout moment par l’assistant au Maître d’Ouvrage ou tout représentant qu’il lui plaira de désigner.</w:t>
      </w:r>
    </w:p>
    <w:p>
      <w:pPr>
        <w:spacing w:after="120"/>
        <w:jc w:val="both"/>
        <w:rPr>
          <w:rFonts w:cs="Times New Roman"/>
          <w:sz w:val="24"/>
        </w:rPr>
      </w:pPr>
      <w:r>
        <w:rPr>
          <w:rFonts w:cs="Times New Roman"/>
          <w:sz w:val="24"/>
        </w:rPr>
        <w:t>Ces vérifications ne diminueront en rien la responsabilité du titulaire du marché, qui restera pleine et entière jusqu’à l’expiration du délai de garantie.</w:t>
      </w:r>
    </w:p>
    <w:p>
      <w:pPr>
        <w:spacing w:after="120"/>
        <w:jc w:val="both"/>
        <w:rPr>
          <w:rFonts w:cs="Times New Roman"/>
          <w:sz w:val="24"/>
        </w:rPr>
      </w:pPr>
      <w:r>
        <w:rPr>
          <w:rFonts w:cs="Times New Roman"/>
          <w:sz w:val="24"/>
        </w:rPr>
        <w:t>La réception des travaux sera conduite une fois tous les essais effectués. A l’exception des essais à pleine puissance qui pourront se faire pendant la période de garantie ou dès que les conditions climatiques permettront de les réaliser.</w:t>
      </w:r>
    </w:p>
    <w:p>
      <w:pPr>
        <w:spacing w:after="120"/>
        <w:jc w:val="both"/>
        <w:rPr>
          <w:rFonts w:cs="Times New Roman"/>
          <w:sz w:val="24"/>
        </w:rPr>
      </w:pPr>
      <w:r>
        <w:rPr>
          <w:rFonts w:cs="Times New Roman"/>
          <w:sz w:val="24"/>
        </w:rPr>
        <w:t>Elle sera provoquée par le titulaire du marché conformément au planning général et après avoir satisfait aux conditions suivantes :</w:t>
      </w:r>
    </w:p>
    <w:p>
      <w:pPr>
        <w:spacing w:after="120"/>
        <w:jc w:val="both"/>
        <w:rPr>
          <w:rFonts w:cs="Times New Roman"/>
          <w:sz w:val="24"/>
        </w:rPr>
      </w:pPr>
      <w:r>
        <w:rPr>
          <w:rFonts w:cs="Times New Roman"/>
          <w:sz w:val="24"/>
        </w:rPr>
        <w:t>-</w:t>
      </w:r>
      <w:r>
        <w:rPr>
          <w:rFonts w:cs="Times New Roman"/>
          <w:sz w:val="24"/>
        </w:rPr>
        <w:tab/>
        <w:t>fourniture complète de tous les équipements prévus au marché,</w:t>
      </w:r>
    </w:p>
    <w:p>
      <w:pPr>
        <w:spacing w:after="120"/>
        <w:jc w:val="both"/>
        <w:rPr>
          <w:rFonts w:cs="Times New Roman"/>
          <w:sz w:val="24"/>
        </w:rPr>
      </w:pPr>
      <w:r>
        <w:rPr>
          <w:rFonts w:cs="Times New Roman"/>
          <w:sz w:val="24"/>
        </w:rPr>
        <w:t>-</w:t>
      </w:r>
      <w:r>
        <w:rPr>
          <w:rFonts w:cs="Times New Roman"/>
          <w:sz w:val="24"/>
        </w:rPr>
        <w:tab/>
        <w:t>fourniture des P.V. matériels éventuels dûment validés,</w:t>
      </w:r>
    </w:p>
    <w:p>
      <w:pPr>
        <w:spacing w:after="120"/>
        <w:jc w:val="both"/>
        <w:rPr>
          <w:rFonts w:cs="Times New Roman"/>
          <w:sz w:val="24"/>
        </w:rPr>
      </w:pPr>
      <w:r>
        <w:rPr>
          <w:rFonts w:cs="Times New Roman"/>
          <w:sz w:val="24"/>
        </w:rPr>
        <w:t>-</w:t>
      </w:r>
      <w:r>
        <w:rPr>
          <w:rFonts w:cs="Times New Roman"/>
          <w:sz w:val="24"/>
        </w:rPr>
        <w:tab/>
        <w:t>fourniture du DOE, mise à jour des plans (y compris schémas électriques)</w:t>
      </w:r>
    </w:p>
    <w:p>
      <w:pPr>
        <w:spacing w:after="120"/>
        <w:jc w:val="both"/>
        <w:rPr>
          <w:rFonts w:cs="Times New Roman"/>
          <w:sz w:val="24"/>
        </w:rPr>
      </w:pPr>
      <w:r>
        <w:rPr>
          <w:rFonts w:cs="Times New Roman"/>
          <w:sz w:val="24"/>
        </w:rPr>
        <w:t>La réception s’effectuera par une visite complète de l’installation en fonctionnement en présence du Maître de l’ouvrage, de l’assistant au Maître d’ouvrage, à l’issue de laquelle un procès-verbal de réception avec ou sans réserve sera établi.</w:t>
      </w:r>
    </w:p>
    <w:p>
      <w:pPr>
        <w:spacing w:after="120"/>
        <w:jc w:val="both"/>
        <w:rPr>
          <w:rFonts w:cs="Times New Roman"/>
          <w:sz w:val="24"/>
        </w:rPr>
      </w:pPr>
      <w:r>
        <w:rPr>
          <w:rFonts w:cs="Times New Roman"/>
          <w:sz w:val="24"/>
        </w:rPr>
        <w:t>Le titulaire du marché devra lever les réserves dans le délai imparti.</w:t>
      </w:r>
    </w:p>
    <w:p>
      <w:pPr>
        <w:spacing w:after="120"/>
        <w:jc w:val="both"/>
        <w:rPr>
          <w:rFonts w:cs="Times New Roman"/>
          <w:sz w:val="24"/>
        </w:rPr>
      </w:pPr>
      <w:r>
        <w:rPr>
          <w:rFonts w:cs="Times New Roman"/>
          <w:sz w:val="24"/>
        </w:rPr>
        <w:t xml:space="preserve">La réception des installations sera prononcée sous réserve de : </w:t>
      </w:r>
    </w:p>
    <w:p>
      <w:pPr>
        <w:spacing w:after="120"/>
        <w:jc w:val="both"/>
        <w:rPr>
          <w:rFonts w:cs="Times New Roman"/>
          <w:sz w:val="24"/>
        </w:rPr>
      </w:pPr>
      <w:r>
        <w:rPr>
          <w:rFonts w:cs="Times New Roman"/>
          <w:sz w:val="24"/>
        </w:rPr>
        <w:t>-</w:t>
      </w:r>
      <w:r>
        <w:rPr>
          <w:rFonts w:cs="Times New Roman"/>
          <w:sz w:val="24"/>
        </w:rPr>
        <w:tab/>
        <w:t>la conformité de l'installation au présent descriptif et des règlements en vigueur.</w:t>
      </w:r>
    </w:p>
    <w:p>
      <w:pPr>
        <w:spacing w:after="120"/>
        <w:jc w:val="both"/>
        <w:rPr>
          <w:rFonts w:cs="Times New Roman"/>
          <w:sz w:val="24"/>
        </w:rPr>
      </w:pPr>
      <w:r>
        <w:rPr>
          <w:rFonts w:cs="Times New Roman"/>
          <w:sz w:val="24"/>
        </w:rPr>
        <w:t>-</w:t>
      </w:r>
      <w:r>
        <w:rPr>
          <w:rFonts w:cs="Times New Roman"/>
          <w:sz w:val="24"/>
        </w:rPr>
        <w:tab/>
        <w:t>la levée de l'ensemble des réserves ayant pu être formulée.</w:t>
      </w:r>
    </w:p>
    <w:p>
      <w:pPr>
        <w:spacing w:after="120"/>
        <w:jc w:val="both"/>
        <w:rPr>
          <w:rFonts w:cs="Times New Roman"/>
          <w:sz w:val="24"/>
        </w:rPr>
      </w:pPr>
      <w:r>
        <w:rPr>
          <w:rFonts w:cs="Times New Roman"/>
          <w:sz w:val="24"/>
        </w:rPr>
        <w:t>-</w:t>
      </w:r>
      <w:r>
        <w:rPr>
          <w:rFonts w:cs="Times New Roman"/>
          <w:sz w:val="24"/>
        </w:rPr>
        <w:tab/>
        <w:t>d’essais satisfaisants.</w:t>
      </w:r>
    </w:p>
    <w:p>
      <w:pPr>
        <w:spacing w:after="120"/>
        <w:jc w:val="both"/>
        <w:rPr>
          <w:rFonts w:cs="Times New Roman"/>
          <w:sz w:val="24"/>
        </w:rPr>
      </w:pPr>
      <w:r>
        <w:rPr>
          <w:rFonts w:cs="Times New Roman"/>
          <w:sz w:val="24"/>
        </w:rPr>
        <w:t>-</w:t>
      </w:r>
      <w:r>
        <w:rPr>
          <w:rFonts w:cs="Times New Roman"/>
          <w:sz w:val="24"/>
        </w:rPr>
        <w:tab/>
        <w:t>la fourniture de l’ensemble des pièces citées ci-dessus.</w:t>
      </w:r>
    </w:p>
    <w:p>
      <w:pPr>
        <w:spacing w:after="120"/>
        <w:jc w:val="both"/>
        <w:rPr>
          <w:rFonts w:cs="Times New Roman"/>
          <w:sz w:val="24"/>
        </w:rPr>
      </w:pPr>
      <w:r>
        <w:rPr>
          <w:rFonts w:cs="Times New Roman"/>
          <w:sz w:val="24"/>
        </w:rPr>
        <w:t>Pour toute partie de l'installation reconnue non conforme, l'entreprise devra procéder à ses frais aux modifications nécessaires.</w:t>
      </w:r>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spacing w:before="363" w:after="120"/>
        <w:jc w:val="both"/>
        <w:rPr>
          <w:caps w:val="0"/>
          <w:smallCaps/>
        </w:rPr>
      </w:pPr>
      <w:bookmarkStart w:id="38" w:name="_Toc201052737"/>
      <w:r>
        <w:rPr>
          <w:rFonts w:ascii="Times New Roman" w:hAnsi="Times New Roman" w:cs="Times New Roman"/>
          <w:sz w:val="24"/>
          <w:szCs w:val="24"/>
        </w:rPr>
        <w:t xml:space="preserve">S : </w:t>
      </w:r>
      <w:r>
        <w:rPr>
          <w:rFonts w:ascii="Times New Roman" w:hAnsi="Times New Roman" w:cs="Times New Roman"/>
          <w:caps w:val="0"/>
          <w:smallCaps/>
          <w:sz w:val="24"/>
          <w:szCs w:val="24"/>
        </w:rPr>
        <w:t>formation</w:t>
      </w:r>
      <w:bookmarkEnd w:id="38"/>
    </w:p>
    <w:p>
      <w:pPr>
        <w:pStyle w:val="Normal1"/>
        <w:jc w:val="both"/>
      </w:pPr>
      <w:r>
        <w:t>Dans le cadre de la mise en route des équipements, le titulaire procédera, sur site, à la formation des personnels utilisateurs</w:t>
      </w:r>
      <w:r>
        <w:rPr>
          <w:lang w:eastAsia="fr-FR"/>
        </w:rPr>
        <w:t>.</w:t>
      </w:r>
    </w:p>
    <w:p>
      <w:pPr>
        <w:pStyle w:val="Titre1"/>
        <w:pBdr>
          <w:top w:val="single" w:sz="4" w:space="1" w:color="000001"/>
          <w:left w:val="single" w:sz="4" w:space="4" w:color="000001"/>
          <w:bottom w:val="single" w:sz="4" w:space="1" w:color="000001"/>
          <w:right w:val="single" w:sz="4" w:space="4" w:color="000001"/>
        </w:pBdr>
        <w:shd w:val="clear" w:color="auto" w:fill="F2F2F2" w:themeFill="background1" w:themeFillShade="F2"/>
        <w:spacing w:before="363" w:after="120"/>
        <w:jc w:val="both"/>
      </w:pPr>
      <w:bookmarkStart w:id="39" w:name="_Toc201052738"/>
      <w:r>
        <w:rPr>
          <w:rFonts w:ascii="Times New Roman" w:hAnsi="Times New Roman" w:cs="Times New Roman"/>
          <w:color w:val="000000"/>
          <w:sz w:val="24"/>
          <w:szCs w:val="24"/>
          <w:lang w:eastAsia="fr-FR"/>
        </w:rPr>
        <w:t xml:space="preserve">T : </w:t>
      </w:r>
      <w:r>
        <w:rPr>
          <w:rFonts w:ascii="Times New Roman" w:hAnsi="Times New Roman" w:cs="Times New Roman"/>
          <w:caps w:val="0"/>
          <w:smallCaps/>
          <w:color w:val="000000"/>
          <w:sz w:val="24"/>
          <w:szCs w:val="24"/>
          <w:lang w:eastAsia="fr-FR"/>
        </w:rPr>
        <w:t>garanties</w:t>
      </w:r>
      <w:bookmarkEnd w:id="39"/>
    </w:p>
    <w:p>
      <w:pPr>
        <w:spacing w:after="120"/>
        <w:jc w:val="both"/>
        <w:rPr>
          <w:rFonts w:cs="Times New Roman"/>
          <w:b/>
          <w:sz w:val="24"/>
        </w:rPr>
      </w:pPr>
      <w:r>
        <w:rPr>
          <w:rFonts w:cs="Times New Roman"/>
          <w:b/>
          <w:sz w:val="24"/>
        </w:rPr>
        <w:t>Garanties de fonctionnement</w:t>
      </w:r>
    </w:p>
    <w:p>
      <w:pPr>
        <w:spacing w:after="120"/>
        <w:jc w:val="both"/>
        <w:rPr>
          <w:rFonts w:cs="Times New Roman"/>
          <w:sz w:val="24"/>
        </w:rPr>
      </w:pPr>
      <w:r>
        <w:rPr>
          <w:rFonts w:cs="Times New Roman"/>
          <w:sz w:val="24"/>
        </w:rPr>
        <w:t>Le délai de garantie est porté à 2 ans pour les matériels neufs.</w:t>
      </w:r>
    </w:p>
    <w:p>
      <w:pPr>
        <w:spacing w:after="120"/>
        <w:jc w:val="both"/>
        <w:rPr>
          <w:rFonts w:cs="Times New Roman"/>
          <w:sz w:val="24"/>
        </w:rPr>
      </w:pPr>
      <w:r>
        <w:rPr>
          <w:rFonts w:cs="Times New Roman"/>
          <w:sz w:val="24"/>
        </w:rPr>
        <w:t>L’entrepreneur titulaire du présent marché devra garantir formellement, dans les conditions du présent CCAP, la bonne réalisation de l’installation.</w:t>
      </w:r>
    </w:p>
    <w:p>
      <w:pPr>
        <w:spacing w:after="120"/>
        <w:jc w:val="both"/>
        <w:rPr>
          <w:rFonts w:cs="Times New Roman"/>
          <w:sz w:val="24"/>
        </w:rPr>
      </w:pPr>
      <w:r>
        <w:rPr>
          <w:rFonts w:cs="Times New Roman"/>
          <w:sz w:val="24"/>
        </w:rPr>
        <w:t>Cette garantie implique le remplacement dans les plus brefs délais possibles, par l’entreprise titulaire du présent marché, de toute partie de la fourniture reconnue défectueuse, ainsi que la suppression immédiate de tout défaut qui se sera manifesté.</w:t>
      </w:r>
    </w:p>
    <w:p>
      <w:pPr>
        <w:spacing w:after="120"/>
        <w:jc w:val="both"/>
        <w:rPr>
          <w:rFonts w:cs="Times New Roman"/>
          <w:sz w:val="24"/>
        </w:rPr>
      </w:pPr>
      <w:r>
        <w:rPr>
          <w:rFonts w:cs="Times New Roman"/>
          <w:sz w:val="24"/>
        </w:rPr>
        <w:t>L’installation ne sera réputée reçue qu’après expiration de la période de garantie.</w:t>
      </w:r>
    </w:p>
    <w:sectPr>
      <w:footerReference w:type="default" r:id="rId11"/>
      <w:pgSz w:w="11906" w:h="16838"/>
      <w:pgMar w:top="1136" w:right="843" w:bottom="777" w:left="1525" w:header="851" w:footer="720" w:gutter="0"/>
      <w:cols w:space="720"/>
      <w:formProt w:val="0"/>
      <w:docGrid w:linePitch="249"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ambria"/>
    <w:panose1 w:val="00000400000000000000"/>
    <w:charset w:val="01"/>
    <w:family w:val="roman"/>
    <w:notTrueType/>
    <w:pitch w:val="variable"/>
    <w:sig w:usb0="00002000" w:usb1="00000000" w:usb2="00000000" w:usb3="00000000" w:csb0="00000000" w:csb1="00000000"/>
  </w:font>
  <w:font w:name="Letter Gothic">
    <w:charset w:val="01"/>
    <w:family w:val="swiss"/>
    <w:pitch w:val="default"/>
  </w:font>
  <w:font w:name="OpenSymbol">
    <w:panose1 w:val="05010000000000000000"/>
    <w:charset w:val="00"/>
    <w:family w:val="auto"/>
    <w:pitch w:val="variable"/>
    <w:sig w:usb0="800000AF" w:usb1="1001ECEA" w:usb2="00000000" w:usb3="00000000" w:csb0="80000001" w:csb1="00000000"/>
  </w:font>
  <w:font w:name="Webdings">
    <w:panose1 w:val="05030102010509060703"/>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horndale AMT">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Univers, Arial">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imes New Roman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center"/>
    </w:pPr>
    <w:r>
      <w:fldChar w:fldCharType="begin"/>
    </w:r>
    <w:r>
      <w:instrText>PAGE</w:instrText>
    </w:r>
    <w:r>
      <w:fldChar w:fldCharType="separate"/>
    </w:r>
    <w:r>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6025E"/>
    <w:multiLevelType w:val="hybridMultilevel"/>
    <w:tmpl w:val="98242366"/>
    <w:lvl w:ilvl="0" w:tplc="2D4C4A6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502B76"/>
    <w:multiLevelType w:val="hybridMultilevel"/>
    <w:tmpl w:val="4C76BF96"/>
    <w:lvl w:ilvl="0" w:tplc="BC04756C">
      <w:numFmt w:val="bullet"/>
      <w:lvlText w:val=""/>
      <w:lvlJc w:val="left"/>
      <w:pPr>
        <w:ind w:left="473" w:hanging="360"/>
      </w:pPr>
      <w:rPr>
        <w:rFonts w:ascii="Symbol" w:eastAsia="Times New Roman" w:hAnsi="Symbol" w:cs="Times New Roman" w:hint="default"/>
        <w:b w:val="0"/>
        <w:color w:val="00000A"/>
      </w:rPr>
    </w:lvl>
    <w:lvl w:ilvl="1" w:tplc="040C0003" w:tentative="1">
      <w:start w:val="1"/>
      <w:numFmt w:val="bullet"/>
      <w:lvlText w:val="o"/>
      <w:lvlJc w:val="left"/>
      <w:pPr>
        <w:ind w:left="1193" w:hanging="360"/>
      </w:pPr>
      <w:rPr>
        <w:rFonts w:ascii="Courier New" w:hAnsi="Courier New" w:cs="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cs="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cs="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2" w15:restartNumberingAfterBreak="0">
    <w:nsid w:val="0EE10C06"/>
    <w:multiLevelType w:val="multilevel"/>
    <w:tmpl w:val="F5DCA5D6"/>
    <w:lvl w:ilvl="0">
      <w:start w:val="1"/>
      <w:numFmt w:val="upperRoman"/>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15:restartNumberingAfterBreak="0">
    <w:nsid w:val="15C731D6"/>
    <w:multiLevelType w:val="hybridMultilevel"/>
    <w:tmpl w:val="A43AEA78"/>
    <w:lvl w:ilvl="0" w:tplc="E9C4A4C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1CC97C72"/>
    <w:multiLevelType w:val="hybridMultilevel"/>
    <w:tmpl w:val="DBD65F54"/>
    <w:lvl w:ilvl="0" w:tplc="040C0001">
      <w:start w:val="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780DBA"/>
    <w:multiLevelType w:val="hybridMultilevel"/>
    <w:tmpl w:val="31E23914"/>
    <w:lvl w:ilvl="0" w:tplc="1F0A2552">
      <w:numFmt w:val="bullet"/>
      <w:lvlText w:val=""/>
      <w:lvlJc w:val="left"/>
      <w:pPr>
        <w:ind w:left="814" w:hanging="360"/>
      </w:pPr>
      <w:rPr>
        <w:rFonts w:ascii="Symbol" w:eastAsia="Times New Roman" w:hAnsi="Symbol"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34960D8D"/>
    <w:multiLevelType w:val="hybridMultilevel"/>
    <w:tmpl w:val="9F2A8550"/>
    <w:lvl w:ilvl="0" w:tplc="040C0001">
      <w:start w:val="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246D4B"/>
    <w:multiLevelType w:val="hybridMultilevel"/>
    <w:tmpl w:val="D3308294"/>
    <w:lvl w:ilvl="0" w:tplc="2C6C71B6">
      <w:numFmt w:val="bullet"/>
      <w:lvlText w:val=""/>
      <w:lvlJc w:val="left"/>
      <w:pPr>
        <w:ind w:left="927" w:hanging="360"/>
      </w:pPr>
      <w:rPr>
        <w:rFonts w:ascii="Symbol" w:eastAsia="Times New Roman" w:hAnsi="Symbol" w:cs="Arial" w:hint="default"/>
        <w:color w:val="000000"/>
        <w:sz w:val="24"/>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3F486AC5"/>
    <w:multiLevelType w:val="multilevel"/>
    <w:tmpl w:val="BCEA018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4B5137EE"/>
    <w:multiLevelType w:val="hybridMultilevel"/>
    <w:tmpl w:val="57283518"/>
    <w:lvl w:ilvl="0" w:tplc="040C0001">
      <w:start w:val="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BE442B"/>
    <w:multiLevelType w:val="multilevel"/>
    <w:tmpl w:val="E2B8698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1" w15:restartNumberingAfterBreak="0">
    <w:nsid w:val="5E193F64"/>
    <w:multiLevelType w:val="hybridMultilevel"/>
    <w:tmpl w:val="92C89320"/>
    <w:lvl w:ilvl="0" w:tplc="C87CC6C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C0C3C33"/>
    <w:multiLevelType w:val="hybridMultilevel"/>
    <w:tmpl w:val="46FCBC92"/>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8"/>
  </w:num>
  <w:num w:numId="4">
    <w:abstractNumId w:val="5"/>
  </w:num>
  <w:num w:numId="5">
    <w:abstractNumId w:val="3"/>
  </w:num>
  <w:num w:numId="6">
    <w:abstractNumId w:val="7"/>
  </w:num>
  <w:num w:numId="7">
    <w:abstractNumId w:val="9"/>
  </w:num>
  <w:num w:numId="8">
    <w:abstractNumId w:val="6"/>
  </w:num>
  <w:num w:numId="9">
    <w:abstractNumId w:val="4"/>
  </w:num>
  <w:num w:numId="10">
    <w:abstractNumId w:val="12"/>
  </w:num>
  <w:num w:numId="11">
    <w:abstractNumId w:val="11"/>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F5E291-D205-4980-AA11-ACCE8A9F0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Mangal"/>
        <w:szCs w:val="24"/>
        <w:lang w:val="fr-FR"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color w:val="00000A"/>
    </w:rPr>
  </w:style>
  <w:style w:type="paragraph" w:styleId="Titre1">
    <w:name w:val="heading 1"/>
    <w:basedOn w:val="Titre"/>
    <w:pPr>
      <w:widowControl w:val="0"/>
      <w:spacing w:before="720" w:after="0"/>
      <w:outlineLvl w:val="0"/>
    </w:pPr>
    <w:rPr>
      <w:rFonts w:ascii="Arial" w:eastAsia="Arial Unicode MS" w:hAnsi="Arial" w:cs="Arial"/>
      <w:b/>
      <w:bCs/>
      <w:caps/>
      <w:spacing w:val="10"/>
      <w:sz w:val="26"/>
      <w:szCs w:val="26"/>
    </w:rPr>
  </w:style>
  <w:style w:type="paragraph" w:styleId="Titre2">
    <w:name w:val="heading 2"/>
    <w:basedOn w:val="Titre"/>
    <w:pPr>
      <w:widowControl w:val="0"/>
      <w:spacing w:before="480" w:after="0"/>
      <w:outlineLvl w:val="1"/>
    </w:pPr>
    <w:rPr>
      <w:rFonts w:ascii="Arial" w:eastAsia="Arial Unicode MS" w:hAnsi="Arial" w:cs="Arial"/>
      <w:b/>
      <w:bCs/>
      <w:caps/>
      <w:spacing w:val="10"/>
      <w:sz w:val="22"/>
      <w:szCs w:val="22"/>
    </w:rPr>
  </w:style>
  <w:style w:type="paragraph" w:styleId="Titre3">
    <w:name w:val="heading 3"/>
    <w:basedOn w:val="Titre"/>
    <w:pPr>
      <w:widowControl w:val="0"/>
      <w:spacing w:before="480" w:after="0"/>
      <w:outlineLvl w:val="2"/>
    </w:pPr>
    <w:rPr>
      <w:rFonts w:ascii="Arial" w:eastAsia="Arial Unicode MS" w:hAnsi="Arial" w:cs="Arial"/>
      <w:b/>
      <w:bCs/>
      <w:i/>
      <w:iCs/>
      <w:smallCaps/>
      <w:spacing w:val="10"/>
      <w:sz w:val="20"/>
      <w:szCs w:val="20"/>
    </w:rPr>
  </w:style>
  <w:style w:type="paragraph" w:styleId="Titre4">
    <w:name w:val="heading 4"/>
    <w:basedOn w:val="Titre"/>
    <w:pPr>
      <w:widowControl w:val="0"/>
      <w:spacing w:before="480" w:after="0"/>
      <w:outlineLvl w:val="3"/>
    </w:pPr>
    <w:rPr>
      <w:rFonts w:ascii="Arial" w:eastAsia="Arial Unicode MS" w:hAnsi="Arial" w:cs="Arial"/>
      <w:b/>
      <w:bCs/>
      <w:spacing w:val="10"/>
      <w:sz w:val="20"/>
      <w:szCs w:val="20"/>
    </w:rPr>
  </w:style>
  <w:style w:type="paragraph" w:styleId="Titre5">
    <w:name w:val="heading 5"/>
    <w:basedOn w:val="Titre"/>
    <w:pPr>
      <w:widowControl w:val="0"/>
      <w:spacing w:after="60"/>
      <w:outlineLvl w:val="4"/>
    </w:pPr>
    <w:rPr>
      <w:rFonts w:ascii="Arial" w:eastAsia="Arial Unicode MS" w:hAnsi="Arial" w:cs="Arial"/>
      <w:sz w:val="22"/>
      <w:szCs w:val="22"/>
    </w:rPr>
  </w:style>
  <w:style w:type="paragraph" w:styleId="Titre6">
    <w:name w:val="heading 6"/>
    <w:basedOn w:val="Titre"/>
    <w:pPr>
      <w:widowControl w:val="0"/>
      <w:spacing w:after="60"/>
      <w:outlineLvl w:val="5"/>
    </w:pPr>
    <w:rPr>
      <w:rFonts w:ascii="Arial" w:eastAsia="Arial Unicode MS" w:hAnsi="Arial" w:cs="Arial"/>
      <w:i/>
      <w:iCs/>
      <w:sz w:val="22"/>
      <w:szCs w:val="22"/>
    </w:rPr>
  </w:style>
  <w:style w:type="paragraph" w:styleId="Titre7">
    <w:name w:val="heading 7"/>
    <w:basedOn w:val="Titre"/>
    <w:pPr>
      <w:widowControl w:val="0"/>
      <w:spacing w:after="60"/>
      <w:outlineLvl w:val="6"/>
    </w:pPr>
    <w:rPr>
      <w:rFonts w:ascii="Arial" w:eastAsia="Arial Unicode MS" w:hAnsi="Arial" w:cs="Arial"/>
      <w:sz w:val="20"/>
      <w:szCs w:val="20"/>
    </w:rPr>
  </w:style>
  <w:style w:type="paragraph" w:styleId="Titre8">
    <w:name w:val="heading 8"/>
    <w:basedOn w:val="Titre"/>
    <w:pPr>
      <w:widowControl w:val="0"/>
      <w:spacing w:after="60"/>
      <w:outlineLvl w:val="7"/>
    </w:pPr>
    <w:rPr>
      <w:rFonts w:ascii="Arial" w:eastAsia="Arial Unicode MS" w:hAnsi="Arial" w:cs="Arial"/>
      <w:i/>
      <w:iCs/>
      <w:sz w:val="20"/>
      <w:szCs w:val="20"/>
    </w:rPr>
  </w:style>
  <w:style w:type="paragraph" w:styleId="Titre9">
    <w:name w:val="heading 9"/>
    <w:basedOn w:val="Titre"/>
    <w:pPr>
      <w:widowControl w:val="0"/>
      <w:spacing w:after="60"/>
      <w:outlineLvl w:val="8"/>
    </w:pPr>
    <w:rPr>
      <w:rFonts w:ascii="Arial" w:eastAsia="Arial Unicode MS"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rPr>
  </w:style>
  <w:style w:type="character" w:customStyle="1" w:styleId="WW8Num3z0">
    <w:name w:val="WW8Num3z0"/>
    <w:rPr>
      <w:rFonts w:ascii="Letter Gothic" w:hAnsi="Letter Gothic"/>
    </w:rPr>
  </w:style>
  <w:style w:type="character" w:customStyle="1" w:styleId="WW8Num4z0">
    <w:name w:val="WW8Num4z0"/>
    <w:rPr>
      <w:rFonts w:ascii="Letter Gothic" w:hAnsi="Letter Gothic"/>
    </w:rPr>
  </w:style>
  <w:style w:type="character" w:customStyle="1" w:styleId="WW8Num5z0">
    <w:name w:val="WW8Num5z0"/>
    <w:rPr>
      <w:rFonts w:ascii="Times New Roman" w:hAnsi="Times New Roman"/>
    </w:rPr>
  </w:style>
  <w:style w:type="character" w:customStyle="1" w:styleId="WW8Num6z0">
    <w:name w:val="WW8Num6z0"/>
    <w:rPr>
      <w:rFonts w:ascii="Wingdings" w:hAnsi="Wingdings"/>
    </w:rPr>
  </w:style>
  <w:style w:type="character" w:customStyle="1" w:styleId="WW8Num7z0">
    <w:name w:val="WW8Num7z0"/>
    <w:rPr>
      <w:rFonts w:ascii="Wingdings" w:hAnsi="Wingdings"/>
    </w:rPr>
  </w:style>
  <w:style w:type="character" w:customStyle="1" w:styleId="WW8Num8z0">
    <w:name w:val="WW8Num8z0"/>
    <w:rPr>
      <w:rFonts w:ascii="Wingdings" w:hAnsi="Wingdings"/>
    </w:rPr>
  </w:style>
  <w:style w:type="character" w:customStyle="1" w:styleId="WW8Num9z0">
    <w:name w:val="WW8Num9z0"/>
    <w:rPr>
      <w:rFonts w:ascii="Wingdings" w:hAnsi="Wingdings"/>
    </w:rPr>
  </w:style>
  <w:style w:type="character" w:styleId="Numrodepage">
    <w:name w:val="page number"/>
    <w:basedOn w:val="Policepardfaut"/>
  </w:style>
  <w:style w:type="character" w:styleId="Marquedecommentaire">
    <w:name w:val="annotation reference"/>
    <w:basedOn w:val="Policepardfaut"/>
    <w:rPr>
      <w:sz w:val="16"/>
      <w:szCs w:val="16"/>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WW8Num20z0">
    <w:name w:val="WW8Num20z0"/>
    <w:rPr>
      <w:rFonts w:ascii="Wingdings" w:hAnsi="Wingdings"/>
    </w:rPr>
  </w:style>
  <w:style w:type="character" w:customStyle="1" w:styleId="WW8Num10z0">
    <w:name w:val="WW8Num10z0"/>
    <w:rPr>
      <w:rFonts w:ascii="Symbol" w:hAnsi="Symbol"/>
      <w:sz w:val="20"/>
    </w:rPr>
  </w:style>
  <w:style w:type="character" w:customStyle="1" w:styleId="WW8Num12z0">
    <w:name w:val="WW8Num12z0"/>
    <w:rPr>
      <w:rFonts w:ascii="Arial" w:hAnsi="Arial"/>
      <w:color w:val="FD3F03"/>
    </w:rPr>
  </w:style>
  <w:style w:type="character" w:customStyle="1" w:styleId="WW8Num14z0">
    <w:name w:val="WW8Num14z0"/>
    <w:rPr>
      <w:rFonts w:ascii="Symbol" w:hAnsi="Symbol"/>
      <w:sz w:val="20"/>
    </w:rPr>
  </w:style>
  <w:style w:type="character" w:customStyle="1" w:styleId="WW8Num11z0">
    <w:name w:val="WW8Num11z0"/>
    <w:rPr>
      <w:rFonts w:ascii="Wingdings" w:hAnsi="Wingdings"/>
    </w:rPr>
  </w:style>
  <w:style w:type="character" w:customStyle="1" w:styleId="WW8Num17z2">
    <w:name w:val="WW8Num17z2"/>
    <w:rPr>
      <w:rFonts w:ascii="Wingdings" w:hAnsi="Wingdings"/>
    </w:rPr>
  </w:style>
  <w:style w:type="character" w:customStyle="1" w:styleId="WW8Num19z0">
    <w:name w:val="WW8Num19z0"/>
    <w:rPr>
      <w:rFonts w:ascii="Wingdings" w:hAnsi="Wingdings"/>
      <w:color w:val="00000A"/>
      <w:sz w:val="20"/>
    </w:rPr>
  </w:style>
  <w:style w:type="character" w:customStyle="1" w:styleId="WW8Num18z0">
    <w:name w:val="WW8Num18z0"/>
    <w:rPr>
      <w:rFonts w:ascii="Symbol" w:hAnsi="Symbol" w:cs="Webdings"/>
    </w:rPr>
  </w:style>
  <w:style w:type="character" w:customStyle="1" w:styleId="WW8Num16z0">
    <w:name w:val="WW8Num16z0"/>
    <w:rPr>
      <w:rFonts w:ascii="Wingdings" w:hAnsi="Wingdings"/>
      <w:color w:val="FF9900"/>
      <w:sz w:val="20"/>
    </w:rPr>
  </w:style>
  <w:style w:type="character" w:customStyle="1" w:styleId="WW8Num13z0">
    <w:name w:val="WW8Num13z0"/>
    <w:rPr>
      <w:rFonts w:ascii="Wingdings 3" w:hAnsi="Wingdings 3" w:cs="Wingdings"/>
      <w:color w:val="FF6600"/>
    </w:rPr>
  </w:style>
  <w:style w:type="character" w:customStyle="1" w:styleId="LienInternet">
    <w:name w:val="Lien Internet"/>
    <w:basedOn w:val="Policepardfaut"/>
    <w:uiPriority w:val="99"/>
    <w:semiHidden/>
    <w:unhideWhenUsed/>
    <w:rPr>
      <w:color w:val="0000FF"/>
      <w:u w:val="single"/>
    </w:rPr>
  </w:style>
  <w:style w:type="character" w:customStyle="1" w:styleId="WW8Num1z0">
    <w:name w:val="WW8Num1z0"/>
    <w:rPr>
      <w:rFonts w:ascii="Symbol" w:hAnsi="Symbol"/>
    </w:rPr>
  </w:style>
  <w:style w:type="character" w:customStyle="1" w:styleId="ListLabel1">
    <w:name w:val="ListLabel 1"/>
    <w:rPr>
      <w:sz w:val="20"/>
    </w:rPr>
  </w:style>
  <w:style w:type="character" w:customStyle="1" w:styleId="ListLabel2">
    <w:name w:val="ListLabel 2"/>
    <w:rPr>
      <w:color w:val="FD3F03"/>
    </w:rPr>
  </w:style>
  <w:style w:type="character" w:customStyle="1" w:styleId="ListLabel3">
    <w:name w:val="ListLabel 3"/>
    <w:rPr>
      <w:color w:val="00000A"/>
      <w:sz w:val="20"/>
    </w:rPr>
  </w:style>
  <w:style w:type="character" w:customStyle="1" w:styleId="ListLabel4">
    <w:name w:val="ListLabel 4"/>
    <w:rPr>
      <w:rFonts w:cs="Webdings"/>
    </w:rPr>
  </w:style>
  <w:style w:type="character" w:customStyle="1" w:styleId="ListLabel5">
    <w:name w:val="ListLabel 5"/>
    <w:rPr>
      <w:color w:val="FF9900"/>
      <w:sz w:val="20"/>
    </w:rPr>
  </w:style>
  <w:style w:type="character" w:customStyle="1" w:styleId="ListLabel6">
    <w:name w:val="ListLabel 6"/>
    <w:rPr>
      <w:rFonts w:cs="Wingdings"/>
      <w:color w:val="FF6600"/>
    </w:rPr>
  </w:style>
  <w:style w:type="character" w:customStyle="1" w:styleId="ListLabel7">
    <w:name w:val="ListLabel 7"/>
    <w:rPr>
      <w:rFonts w:eastAsia="OpenSymbol" w:cs="OpenSymbol"/>
    </w:rPr>
  </w:style>
  <w:style w:type="character" w:customStyle="1" w:styleId="ListLabel8">
    <w:name w:val="ListLabel 8"/>
    <w:rPr>
      <w:rFonts w:eastAsia="Times New Roman" w:cs="Times New Roman"/>
    </w:rPr>
  </w:style>
  <w:style w:type="character" w:customStyle="1" w:styleId="ListLabel9">
    <w:name w:val="ListLabel 9"/>
    <w:rPr>
      <w:rFonts w:cs="Courier New"/>
    </w:rPr>
  </w:style>
  <w:style w:type="character" w:customStyle="1" w:styleId="ListLabel10">
    <w:name w:val="ListLabel 10"/>
    <w:rPr>
      <w:rFonts w:cs="Letter Gothic"/>
    </w:rPr>
  </w:style>
  <w:style w:type="character" w:customStyle="1" w:styleId="ListLabel11">
    <w:name w:val="ListLabel 11"/>
    <w:rPr>
      <w:rFonts w:cs="Symbol"/>
    </w:rPr>
  </w:style>
  <w:style w:type="character" w:customStyle="1" w:styleId="ListLabel12">
    <w:name w:val="ListLabel 12"/>
    <w:rPr>
      <w:rFonts w:cs="Symbol"/>
      <w:sz w:val="20"/>
    </w:rPr>
  </w:style>
  <w:style w:type="character" w:customStyle="1" w:styleId="ListLabel13">
    <w:name w:val="ListLabel 13"/>
    <w:rPr>
      <w:rFonts w:cs="Courier New"/>
      <w:sz w:val="20"/>
    </w:rPr>
  </w:style>
  <w:style w:type="character" w:customStyle="1" w:styleId="ListLabel14">
    <w:name w:val="ListLabel 14"/>
    <w:rPr>
      <w:rFonts w:cs="Wingdings"/>
      <w:sz w:val="20"/>
    </w:rPr>
  </w:style>
  <w:style w:type="character" w:customStyle="1" w:styleId="ListLabel15">
    <w:name w:val="ListLabel 15"/>
    <w:rPr>
      <w:rFonts w:cs="Times New Roman"/>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Letter Gothic"/>
    </w:rPr>
  </w:style>
  <w:style w:type="character" w:customStyle="1" w:styleId="ListLabel19">
    <w:name w:val="ListLabel 19"/>
    <w:rPr>
      <w:rFonts w:cs="Symbol"/>
    </w:rPr>
  </w:style>
  <w:style w:type="character" w:customStyle="1" w:styleId="ListLabel20">
    <w:name w:val="ListLabel 20"/>
    <w:rPr>
      <w:rFonts w:cs="Symbol"/>
      <w:sz w:val="20"/>
    </w:rPr>
  </w:style>
  <w:style w:type="character" w:customStyle="1" w:styleId="ListLabel21">
    <w:name w:val="ListLabel 21"/>
    <w:rPr>
      <w:rFonts w:cs="Courier New"/>
      <w:sz w:val="20"/>
    </w:rPr>
  </w:style>
  <w:style w:type="character" w:customStyle="1" w:styleId="ListLabel22">
    <w:name w:val="ListLabel 22"/>
    <w:rPr>
      <w:rFonts w:cs="Wingdings"/>
      <w:sz w:val="20"/>
    </w:rPr>
  </w:style>
  <w:style w:type="character" w:customStyle="1" w:styleId="ListLabel23">
    <w:name w:val="ListLabel 23"/>
    <w:rPr>
      <w:rFonts w:cs="Times New Roman"/>
    </w:rPr>
  </w:style>
  <w:style w:type="character" w:customStyle="1" w:styleId="ListLabel24">
    <w:name w:val="ListLabel 24"/>
    <w:rPr>
      <w:rFonts w:cs="Courier New"/>
    </w:rPr>
  </w:style>
  <w:style w:type="character" w:customStyle="1" w:styleId="ListLabel25">
    <w:name w:val="ListLabel 25"/>
    <w:rPr>
      <w:rFonts w:cs="Wingdings"/>
    </w:rPr>
  </w:style>
  <w:style w:type="character" w:customStyle="1" w:styleId="ListLabel26">
    <w:name w:val="ListLabel 26"/>
    <w:rPr>
      <w:rFonts w:cs="Symbol"/>
    </w:rPr>
  </w:style>
  <w:style w:type="character" w:customStyle="1" w:styleId="ListLabel27">
    <w:name w:val="ListLabel 27"/>
    <w:rPr>
      <w:rFonts w:cs="Symbol"/>
    </w:rPr>
  </w:style>
  <w:style w:type="character" w:customStyle="1" w:styleId="ListLabel28">
    <w:name w:val="ListLabel 28"/>
    <w:rPr>
      <w:rFonts w:cs="Symbol"/>
    </w:rPr>
  </w:style>
  <w:style w:type="character" w:customStyle="1" w:styleId="ListLabel29">
    <w:name w:val="ListLabel 29"/>
    <w:rPr>
      <w:rFonts w:cs="Symbol"/>
    </w:rPr>
  </w:style>
  <w:style w:type="character" w:customStyle="1" w:styleId="Sautdindex">
    <w:name w:val="Saut d'index"/>
  </w:style>
  <w:style w:type="character" w:customStyle="1" w:styleId="WW8Num39z0">
    <w:name w:val="WW8Num39z0"/>
    <w:rPr>
      <w:rFonts w:ascii="Wingdings" w:hAnsi="Wingdings"/>
      <w:sz w:val="25"/>
    </w:rPr>
  </w:style>
  <w:style w:type="character" w:customStyle="1" w:styleId="CorpsdetexteCar">
    <w:name w:val="Corps de texte Car"/>
    <w:basedOn w:val="Policepardfaut"/>
    <w:link w:val="Corpsdetexte"/>
    <w:uiPriority w:val="99"/>
    <w:semiHidden/>
    <w:rPr>
      <w:rFonts w:ascii="Thorndale AMT" w:hAnsi="Thorndale AMT" w:cs="Tahoma"/>
      <w:sz w:val="24"/>
      <w:lang w:eastAsia="fr-FR" w:bidi="ar-SA"/>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Symbol"/>
    </w:rPr>
  </w:style>
  <w:style w:type="paragraph" w:styleId="Titre">
    <w:name w:val="Title"/>
    <w:basedOn w:val="Normal"/>
    <w:next w:val="Corpsdetexte"/>
    <w:pPr>
      <w:keepNext/>
      <w:spacing w:before="240" w:after="120"/>
    </w:pPr>
    <w:rPr>
      <w:rFonts w:ascii="Liberation Sans" w:eastAsia="Microsoft YaHei" w:hAnsi="Liberation Sans"/>
      <w:sz w:val="28"/>
      <w:szCs w:val="28"/>
    </w:rPr>
  </w:style>
  <w:style w:type="paragraph" w:styleId="Corpsdetexte">
    <w:name w:val="Body Text"/>
    <w:basedOn w:val="Normal"/>
    <w:link w:val="CorpsdetexteCar"/>
    <w:uiPriority w:val="99"/>
    <w:semiHidden/>
    <w:unhideWhenUsed/>
    <w:pPr>
      <w:widowControl w:val="0"/>
      <w:spacing w:after="120" w:line="288" w:lineRule="auto"/>
    </w:pPr>
    <w:rPr>
      <w:rFonts w:ascii="Thorndale AMT" w:hAnsi="Thorndale AMT" w:cs="Tahoma"/>
      <w:sz w:val="24"/>
      <w:lang w:eastAsia="fr-FR" w:bidi="ar-SA"/>
    </w:rPr>
  </w:style>
  <w:style w:type="paragraph" w:styleId="Liste">
    <w:name w:val="List"/>
    <w:pPr>
      <w:keepLines/>
      <w:widowControl w:val="0"/>
      <w:suppressAutoHyphens/>
      <w:spacing w:before="240"/>
      <w:jc w:val="both"/>
    </w:pPr>
    <w:rPr>
      <w:rFonts w:ascii="Arial" w:hAnsi="Arial" w:cs="Arial"/>
      <w:spacing w:val="10"/>
      <w:szCs w:val="20"/>
    </w:rPr>
  </w:style>
  <w:style w:type="paragraph" w:styleId="Lgende">
    <w:name w:val="caption"/>
    <w:basedOn w:val="Normal1"/>
    <w:next w:val="Normal1"/>
    <w:rPr>
      <w:b/>
      <w:bCs/>
    </w:rPr>
  </w:style>
  <w:style w:type="paragraph" w:customStyle="1" w:styleId="Index">
    <w:name w:val="Index"/>
    <w:pPr>
      <w:widowControl w:val="0"/>
      <w:suppressLineNumbers/>
      <w:suppressAutoHyphens/>
    </w:pPr>
    <w:rPr>
      <w:rFonts w:ascii="Liberation Sans" w:hAnsi="Liberation Sans"/>
    </w:rPr>
  </w:style>
  <w:style w:type="paragraph" w:customStyle="1" w:styleId="Normal1">
    <w:name w:val="Normal1"/>
    <w:pPr>
      <w:suppressAutoHyphens/>
      <w:spacing w:before="120" w:after="120"/>
    </w:pPr>
    <w:rPr>
      <w:rFonts w:eastAsia="Times New Roman" w:cs="Times New Roman"/>
      <w:color w:val="00000A"/>
      <w:sz w:val="24"/>
      <w:lang w:bidi="ar-SA"/>
    </w:rPr>
  </w:style>
  <w:style w:type="paragraph" w:customStyle="1" w:styleId="Titre10">
    <w:name w:val="Titre1"/>
    <w:basedOn w:val="Normal1"/>
    <w:pPr>
      <w:keepNext/>
      <w:spacing w:before="240"/>
    </w:pPr>
    <w:rPr>
      <w:rFonts w:ascii="Arial" w:eastAsia="Arial Unicode MS" w:hAnsi="Arial" w:cs="Mangal"/>
      <w:sz w:val="28"/>
      <w:szCs w:val="28"/>
    </w:rPr>
  </w:style>
  <w:style w:type="paragraph" w:customStyle="1" w:styleId="Corpsdetexte1">
    <w:name w:val="Corps de texte1"/>
    <w:basedOn w:val="Normal1"/>
    <w:pPr>
      <w:spacing w:before="240" w:after="0" w:line="288" w:lineRule="auto"/>
      <w:ind w:left="567"/>
      <w:jc w:val="both"/>
    </w:pPr>
    <w:rPr>
      <w:rFonts w:ascii="Arial" w:hAnsi="Arial" w:cs="Arial"/>
      <w:spacing w:val="10"/>
      <w:sz w:val="20"/>
      <w:szCs w:val="20"/>
    </w:rPr>
  </w:style>
  <w:style w:type="paragraph" w:customStyle="1" w:styleId="retrait1">
    <w:name w:val="retrait1"/>
    <w:basedOn w:val="Normal1"/>
    <w:pPr>
      <w:spacing w:before="0" w:after="0"/>
      <w:ind w:left="709"/>
      <w:jc w:val="both"/>
    </w:pPr>
  </w:style>
  <w:style w:type="paragraph" w:customStyle="1" w:styleId="Retraitdecorpsdetexte">
    <w:name w:val="Retrait de corps de texte"/>
    <w:basedOn w:val="Normal1"/>
    <w:pPr>
      <w:ind w:left="283"/>
    </w:pPr>
    <w:rPr>
      <w:sz w:val="20"/>
      <w:szCs w:val="20"/>
    </w:rPr>
  </w:style>
  <w:style w:type="paragraph" w:customStyle="1" w:styleId="Texteretrait">
    <w:name w:val="Texte retrait"/>
    <w:basedOn w:val="Retraitdecorpsdetexte"/>
    <w:pPr>
      <w:jc w:val="both"/>
    </w:pPr>
    <w:rPr>
      <w:sz w:val="24"/>
      <w:szCs w:val="24"/>
    </w:rPr>
  </w:style>
  <w:style w:type="paragraph" w:customStyle="1" w:styleId="numr">
    <w:name w:val="énuméré"/>
    <w:basedOn w:val="Normal1"/>
    <w:pPr>
      <w:spacing w:before="240" w:after="0"/>
    </w:pPr>
    <w:rPr>
      <w:rFonts w:ascii="Arial" w:hAnsi="Arial" w:cs="Arial"/>
      <w:spacing w:val="10"/>
      <w:sz w:val="20"/>
      <w:szCs w:val="20"/>
    </w:rPr>
  </w:style>
  <w:style w:type="paragraph" w:styleId="Listenumros">
    <w:name w:val="List Number"/>
    <w:basedOn w:val="Normal1"/>
    <w:rPr>
      <w:b/>
      <w:bCs/>
      <w:u w:val="single"/>
    </w:rPr>
  </w:style>
  <w:style w:type="paragraph" w:customStyle="1" w:styleId="titreliste">
    <w:name w:val="titre liste"/>
    <w:basedOn w:val="Listenumros"/>
  </w:style>
  <w:style w:type="paragraph" w:customStyle="1" w:styleId="Tabledesmatiresniveau1">
    <w:name w:val="Table des matières niveau 1"/>
    <w:basedOn w:val="Normal1"/>
    <w:next w:val="Normal1"/>
    <w:autoRedefine/>
    <w:uiPriority w:val="39"/>
    <w:unhideWhenUsed/>
    <w:pPr>
      <w:tabs>
        <w:tab w:val="right" w:leader="dot" w:pos="9528"/>
      </w:tabs>
      <w:spacing w:after="100"/>
    </w:pPr>
    <w:rPr>
      <w:b/>
      <w:bCs/>
      <w:caps/>
      <w:color w:val="000000"/>
      <w:sz w:val="20"/>
      <w:szCs w:val="21"/>
    </w:rPr>
  </w:style>
  <w:style w:type="paragraph" w:customStyle="1" w:styleId="Tabledesmatiresniveau2">
    <w:name w:val="Table des matières niveau 2"/>
    <w:basedOn w:val="Normal1"/>
    <w:next w:val="Normal1"/>
    <w:autoRedefine/>
    <w:uiPriority w:val="39"/>
    <w:unhideWhenUsed/>
    <w:pPr>
      <w:spacing w:before="0" w:after="100"/>
      <w:ind w:left="240"/>
    </w:pPr>
    <w:rPr>
      <w:smallCaps/>
      <w:sz w:val="20"/>
      <w:szCs w:val="21"/>
    </w:rPr>
  </w:style>
  <w:style w:type="paragraph" w:customStyle="1" w:styleId="Tabledesmatiresniveau3">
    <w:name w:val="Table des matières niveau 3"/>
    <w:basedOn w:val="Normal1"/>
    <w:next w:val="Normal1"/>
    <w:pPr>
      <w:spacing w:before="0" w:after="0"/>
      <w:ind w:left="480"/>
    </w:pPr>
    <w:rPr>
      <w:i/>
      <w:iCs/>
      <w:sz w:val="20"/>
      <w:szCs w:val="20"/>
    </w:rPr>
  </w:style>
  <w:style w:type="paragraph" w:customStyle="1" w:styleId="Tabledesmatiresniveau4">
    <w:name w:val="Table des matières niveau 4"/>
    <w:basedOn w:val="Normal1"/>
    <w:next w:val="Normal1"/>
    <w:pPr>
      <w:spacing w:before="0" w:after="0"/>
      <w:ind w:left="720"/>
    </w:pPr>
    <w:rPr>
      <w:sz w:val="18"/>
      <w:szCs w:val="18"/>
    </w:rPr>
  </w:style>
  <w:style w:type="paragraph" w:customStyle="1" w:styleId="Tabledesmatiresniveau5">
    <w:name w:val="Table des matières niveau 5"/>
    <w:basedOn w:val="Normal1"/>
    <w:next w:val="Normal1"/>
    <w:pPr>
      <w:spacing w:before="0" w:after="0"/>
      <w:ind w:left="960"/>
    </w:pPr>
    <w:rPr>
      <w:sz w:val="18"/>
      <w:szCs w:val="18"/>
    </w:rPr>
  </w:style>
  <w:style w:type="paragraph" w:customStyle="1" w:styleId="Tabledesmatiresniveau6">
    <w:name w:val="Table des matières niveau 6"/>
    <w:basedOn w:val="Normal1"/>
    <w:next w:val="Normal1"/>
    <w:pPr>
      <w:spacing w:before="0" w:after="0"/>
      <w:ind w:left="1200"/>
    </w:pPr>
    <w:rPr>
      <w:sz w:val="18"/>
      <w:szCs w:val="18"/>
    </w:rPr>
  </w:style>
  <w:style w:type="paragraph" w:customStyle="1" w:styleId="Tabledesmatiresniveau7">
    <w:name w:val="Table des matières niveau 7"/>
    <w:basedOn w:val="Normal1"/>
    <w:next w:val="Normal1"/>
    <w:pPr>
      <w:spacing w:before="0" w:after="0"/>
      <w:ind w:left="1440"/>
    </w:pPr>
    <w:rPr>
      <w:sz w:val="18"/>
      <w:szCs w:val="18"/>
    </w:rPr>
  </w:style>
  <w:style w:type="paragraph" w:customStyle="1" w:styleId="Tabledesmatiresniveau8">
    <w:name w:val="Table des matières niveau 8"/>
    <w:basedOn w:val="Normal1"/>
    <w:next w:val="Normal1"/>
    <w:pPr>
      <w:spacing w:before="0" w:after="0"/>
      <w:ind w:left="1680"/>
    </w:pPr>
    <w:rPr>
      <w:sz w:val="18"/>
      <w:szCs w:val="18"/>
    </w:rPr>
  </w:style>
  <w:style w:type="paragraph" w:customStyle="1" w:styleId="Tabledesmatiresniveau9">
    <w:name w:val="Table des matières niveau 9"/>
    <w:basedOn w:val="Normal1"/>
    <w:next w:val="Normal1"/>
    <w:pPr>
      <w:spacing w:before="0" w:after="0"/>
      <w:ind w:left="1920"/>
    </w:pPr>
    <w:rPr>
      <w:sz w:val="18"/>
      <w:szCs w:val="18"/>
    </w:rPr>
  </w:style>
  <w:style w:type="paragraph" w:styleId="En-tte">
    <w:name w:val="header"/>
    <w:basedOn w:val="Normal1"/>
    <w:pPr>
      <w:tabs>
        <w:tab w:val="center" w:pos="4536"/>
        <w:tab w:val="right" w:pos="9072"/>
      </w:tabs>
    </w:pPr>
  </w:style>
  <w:style w:type="paragraph" w:styleId="Pieddepage">
    <w:name w:val="footer"/>
    <w:basedOn w:val="Normal1"/>
    <w:pPr>
      <w:tabs>
        <w:tab w:val="center" w:pos="4536"/>
        <w:tab w:val="right" w:pos="9072"/>
      </w:tabs>
    </w:pPr>
  </w:style>
  <w:style w:type="paragraph" w:customStyle="1" w:styleId="Enumr">
    <w:name w:val="Enuméré"/>
    <w:basedOn w:val="Corpsdetexte1"/>
    <w:pPr>
      <w:spacing w:before="0"/>
      <w:jc w:val="left"/>
    </w:pPr>
  </w:style>
  <w:style w:type="paragraph" w:customStyle="1" w:styleId="Titre0">
    <w:name w:val="Titre 0"/>
    <w:basedOn w:val="Normal1"/>
    <w:next w:val="Normal1"/>
    <w:pPr>
      <w:spacing w:before="0" w:after="360"/>
    </w:pPr>
    <w:rPr>
      <w:rFonts w:ascii="Arial" w:hAnsi="Arial" w:cs="Arial"/>
      <w:b/>
      <w:bCs/>
      <w:sz w:val="36"/>
      <w:szCs w:val="36"/>
    </w:rPr>
  </w:style>
  <w:style w:type="paragraph" w:customStyle="1" w:styleId="Explorateurdedocument">
    <w:name w:val="Explorateur de document"/>
    <w:basedOn w:val="Normal1"/>
    <w:pPr>
      <w:shd w:val="clear" w:color="auto" w:fill="000080"/>
    </w:pPr>
    <w:rPr>
      <w:rFonts w:ascii="Tahoma" w:hAnsi="Tahoma" w:cs="Tahoma"/>
    </w:rPr>
  </w:style>
  <w:style w:type="paragraph" w:styleId="Corpsdetexte2">
    <w:name w:val="Body Text 2"/>
    <w:basedOn w:val="Normal1"/>
    <w:pPr>
      <w:spacing w:before="240" w:after="0"/>
      <w:jc w:val="center"/>
    </w:pPr>
    <w:rPr>
      <w:rFonts w:ascii="Arial" w:hAnsi="Arial" w:cs="Arial"/>
      <w:spacing w:val="40"/>
      <w:sz w:val="36"/>
      <w:szCs w:val="36"/>
    </w:rPr>
  </w:style>
  <w:style w:type="paragraph" w:styleId="Corpsdetexte3">
    <w:name w:val="Body Text 3"/>
    <w:basedOn w:val="Normal1"/>
    <w:pPr>
      <w:spacing w:before="0" w:after="0"/>
      <w:jc w:val="center"/>
    </w:pPr>
    <w:rPr>
      <w:color w:val="000000"/>
    </w:rPr>
  </w:style>
  <w:style w:type="paragraph" w:customStyle="1" w:styleId="corpstexte1">
    <w:name w:val="corpstexte1"/>
    <w:basedOn w:val="Corpsdetexte1"/>
    <w:pPr>
      <w:spacing w:before="0"/>
      <w:ind w:left="1418"/>
    </w:pPr>
  </w:style>
  <w:style w:type="paragraph" w:styleId="Retraitcorpsdetexte2">
    <w:name w:val="Body Text Indent 2"/>
    <w:basedOn w:val="Normal1"/>
    <w:pPr>
      <w:tabs>
        <w:tab w:val="left" w:pos="720"/>
      </w:tabs>
      <w:spacing w:before="0" w:after="0"/>
      <w:ind w:left="360" w:hanging="360"/>
      <w:jc w:val="both"/>
    </w:pPr>
    <w:rPr>
      <w:sz w:val="22"/>
      <w:szCs w:val="22"/>
    </w:rPr>
  </w:style>
  <w:style w:type="paragraph" w:styleId="Retraitcorpsdetexte3">
    <w:name w:val="Body Text Indent 3"/>
    <w:basedOn w:val="Normal1"/>
    <w:pPr>
      <w:spacing w:before="0" w:after="0"/>
      <w:ind w:left="340"/>
      <w:jc w:val="both"/>
    </w:pPr>
    <w:rPr>
      <w:sz w:val="22"/>
      <w:szCs w:val="22"/>
    </w:rPr>
  </w:style>
  <w:style w:type="paragraph" w:styleId="Index1">
    <w:name w:val="index 1"/>
    <w:basedOn w:val="Normal1"/>
    <w:next w:val="Normal1"/>
    <w:pPr>
      <w:spacing w:before="0" w:after="0"/>
      <w:ind w:left="240" w:hanging="240"/>
    </w:pPr>
    <w:rPr>
      <w:sz w:val="20"/>
      <w:szCs w:val="20"/>
    </w:rPr>
  </w:style>
  <w:style w:type="paragraph" w:styleId="Index2">
    <w:name w:val="index 2"/>
    <w:basedOn w:val="Normal1"/>
    <w:next w:val="Normal1"/>
    <w:pPr>
      <w:spacing w:before="0" w:after="0"/>
      <w:ind w:left="480" w:hanging="240"/>
    </w:pPr>
    <w:rPr>
      <w:sz w:val="20"/>
      <w:szCs w:val="20"/>
    </w:rPr>
  </w:style>
  <w:style w:type="paragraph" w:styleId="Index3">
    <w:name w:val="index 3"/>
    <w:basedOn w:val="Normal1"/>
    <w:next w:val="Normal1"/>
    <w:pPr>
      <w:spacing w:before="0" w:after="0"/>
      <w:ind w:left="720" w:hanging="240"/>
    </w:pPr>
    <w:rPr>
      <w:sz w:val="20"/>
      <w:szCs w:val="20"/>
    </w:rPr>
  </w:style>
  <w:style w:type="paragraph" w:styleId="Index4">
    <w:name w:val="index 4"/>
    <w:basedOn w:val="Normal1"/>
    <w:next w:val="Normal1"/>
    <w:pPr>
      <w:spacing w:before="0" w:after="0"/>
      <w:ind w:left="960" w:hanging="240"/>
    </w:pPr>
    <w:rPr>
      <w:sz w:val="20"/>
      <w:szCs w:val="20"/>
    </w:rPr>
  </w:style>
  <w:style w:type="paragraph" w:styleId="Index5">
    <w:name w:val="index 5"/>
    <w:basedOn w:val="Normal1"/>
    <w:next w:val="Normal1"/>
    <w:pPr>
      <w:spacing w:before="0" w:after="0"/>
      <w:ind w:left="1200" w:hanging="240"/>
    </w:pPr>
    <w:rPr>
      <w:sz w:val="20"/>
      <w:szCs w:val="20"/>
    </w:rPr>
  </w:style>
  <w:style w:type="paragraph" w:styleId="Index6">
    <w:name w:val="index 6"/>
    <w:basedOn w:val="Normal1"/>
    <w:next w:val="Normal1"/>
    <w:pPr>
      <w:spacing w:before="0" w:after="0"/>
      <w:ind w:left="1440" w:hanging="240"/>
    </w:pPr>
    <w:rPr>
      <w:sz w:val="20"/>
      <w:szCs w:val="20"/>
    </w:rPr>
  </w:style>
  <w:style w:type="paragraph" w:styleId="Index7">
    <w:name w:val="index 7"/>
    <w:basedOn w:val="Normal1"/>
    <w:next w:val="Normal1"/>
    <w:pPr>
      <w:spacing w:before="0" w:after="0"/>
      <w:ind w:left="1680" w:hanging="240"/>
    </w:pPr>
    <w:rPr>
      <w:sz w:val="20"/>
      <w:szCs w:val="20"/>
    </w:rPr>
  </w:style>
  <w:style w:type="paragraph" w:styleId="Index8">
    <w:name w:val="index 8"/>
    <w:basedOn w:val="Normal1"/>
    <w:next w:val="Normal1"/>
    <w:pPr>
      <w:spacing w:before="0" w:after="0"/>
      <w:ind w:left="1920" w:hanging="240"/>
    </w:pPr>
    <w:rPr>
      <w:sz w:val="20"/>
      <w:szCs w:val="20"/>
    </w:rPr>
  </w:style>
  <w:style w:type="paragraph" w:styleId="Index9">
    <w:name w:val="index 9"/>
    <w:basedOn w:val="Normal1"/>
    <w:next w:val="Normal1"/>
    <w:pPr>
      <w:spacing w:before="0" w:after="0"/>
      <w:ind w:left="2160" w:hanging="240"/>
    </w:pPr>
    <w:rPr>
      <w:sz w:val="20"/>
      <w:szCs w:val="20"/>
    </w:rPr>
  </w:style>
  <w:style w:type="paragraph" w:styleId="Titreindex">
    <w:name w:val="index heading"/>
    <w:basedOn w:val="Normal1"/>
    <w:rPr>
      <w:b/>
      <w:bCs/>
      <w:i/>
      <w:iCs/>
      <w:sz w:val="20"/>
      <w:szCs w:val="20"/>
    </w:rPr>
  </w:style>
  <w:style w:type="paragraph" w:customStyle="1" w:styleId="Titreprincipal">
    <w:name w:val="Titre principal"/>
    <w:basedOn w:val="Normal1"/>
    <w:pPr>
      <w:jc w:val="center"/>
    </w:pPr>
    <w:rPr>
      <w:b/>
      <w:bCs/>
      <w:u w:val="single"/>
    </w:rPr>
  </w:style>
  <w:style w:type="paragraph" w:styleId="Sous-titre">
    <w:name w:val="Subtitle"/>
    <w:basedOn w:val="Titre10"/>
    <w:pPr>
      <w:jc w:val="center"/>
    </w:pPr>
    <w:rPr>
      <w:i/>
      <w:iCs/>
    </w:rPr>
  </w:style>
  <w:style w:type="paragraph" w:customStyle="1" w:styleId="fcase2metab">
    <w:name w:val="f_case_2èmetab"/>
    <w:basedOn w:val="Normal1"/>
    <w:pPr>
      <w:tabs>
        <w:tab w:val="left" w:pos="1560"/>
        <w:tab w:val="left" w:pos="1985"/>
      </w:tabs>
      <w:spacing w:before="0" w:after="0"/>
      <w:ind w:left="1134" w:hanging="1134"/>
      <w:jc w:val="both"/>
    </w:pPr>
    <w:rPr>
      <w:rFonts w:ascii="Univers, Arial" w:hAnsi="Univers, Arial"/>
      <w:sz w:val="20"/>
      <w:szCs w:val="20"/>
    </w:rPr>
  </w:style>
  <w:style w:type="paragraph" w:styleId="Textedebulles">
    <w:name w:val="Balloon Text"/>
    <w:basedOn w:val="Normal1"/>
    <w:rPr>
      <w:rFonts w:ascii="Tahoma" w:hAnsi="Tahoma" w:cs="Tahoma"/>
      <w:sz w:val="16"/>
      <w:szCs w:val="16"/>
    </w:rPr>
  </w:style>
  <w:style w:type="paragraph" w:styleId="Commentaire">
    <w:name w:val="annotation text"/>
    <w:basedOn w:val="Normal1"/>
    <w:rPr>
      <w:sz w:val="20"/>
      <w:szCs w:val="20"/>
    </w:rPr>
  </w:style>
  <w:style w:type="paragraph" w:styleId="Objetducommentaire">
    <w:name w:val="annotation subject"/>
    <w:basedOn w:val="Commentaire"/>
    <w:rPr>
      <w:b/>
      <w:bCs/>
    </w:rPr>
  </w:style>
  <w:style w:type="paragraph" w:customStyle="1" w:styleId="Contenudetableau">
    <w:name w:val="Contenu de tableau"/>
    <w:basedOn w:val="Normal1"/>
    <w:pPr>
      <w:suppressLineNumbers/>
    </w:pPr>
  </w:style>
  <w:style w:type="paragraph" w:customStyle="1" w:styleId="Titredetableau">
    <w:name w:val="Titre de tableau"/>
    <w:basedOn w:val="Contenudetableau"/>
    <w:pPr>
      <w:jc w:val="center"/>
    </w:pPr>
    <w:rPr>
      <w:b/>
      <w:bCs/>
    </w:rPr>
  </w:style>
  <w:style w:type="paragraph" w:customStyle="1" w:styleId="Tabledesmatiresniveau10">
    <w:name w:val="Table des matières niveau 10"/>
    <w:basedOn w:val="Index"/>
    <w:pPr>
      <w:tabs>
        <w:tab w:val="right" w:leader="dot" w:pos="9638"/>
      </w:tabs>
      <w:ind w:left="2547"/>
    </w:pPr>
  </w:style>
  <w:style w:type="paragraph" w:customStyle="1" w:styleId="Contenudecadre">
    <w:name w:val="Contenu de cadre"/>
    <w:basedOn w:val="Corpsdetexte1"/>
  </w:style>
  <w:style w:type="paragraph" w:customStyle="1" w:styleId="Notedebasdepage1">
    <w:name w:val="Note de bas de page1"/>
    <w:basedOn w:val="Normal1"/>
    <w:pPr>
      <w:suppressLineNumbers/>
      <w:spacing w:before="0" w:after="0"/>
      <w:ind w:left="283" w:hanging="283"/>
    </w:pPr>
    <w:rPr>
      <w:sz w:val="20"/>
      <w:szCs w:val="20"/>
    </w:rPr>
  </w:style>
  <w:style w:type="paragraph" w:customStyle="1" w:styleId="Titre100">
    <w:name w:val="Titre 10"/>
    <w:basedOn w:val="Titre10"/>
    <w:rPr>
      <w:b/>
      <w:bCs/>
    </w:rPr>
  </w:style>
  <w:style w:type="paragraph" w:customStyle="1" w:styleId="Pricls2">
    <w:name w:val="Périclès 2"/>
    <w:basedOn w:val="Titre2"/>
    <w:pPr>
      <w:spacing w:before="0"/>
    </w:pPr>
    <w:rPr>
      <w:sz w:val="24"/>
      <w:szCs w:val="24"/>
    </w:rPr>
  </w:style>
  <w:style w:type="paragraph" w:customStyle="1" w:styleId="Pricls3">
    <w:name w:val="Périclès 3"/>
    <w:basedOn w:val="Pricls2"/>
    <w:rPr>
      <w:sz w:val="22"/>
      <w:szCs w:val="22"/>
    </w:rPr>
  </w:style>
  <w:style w:type="paragraph" w:customStyle="1" w:styleId="Pricls1">
    <w:name w:val="Périclès 1"/>
    <w:pPr>
      <w:pBdr>
        <w:bottom w:val="single" w:sz="4" w:space="1" w:color="000001"/>
      </w:pBdr>
      <w:suppressAutoHyphens/>
    </w:pPr>
    <w:rPr>
      <w:rFonts w:ascii="Arial" w:eastAsia="Arial" w:hAnsi="Arial" w:cs="Arial"/>
      <w:b/>
      <w:bCs/>
      <w:smallCaps/>
      <w:color w:val="00000A"/>
      <w:sz w:val="32"/>
      <w:szCs w:val="32"/>
      <w:lang w:val="de-DE" w:bidi="ar-SA"/>
    </w:rPr>
  </w:style>
  <w:style w:type="paragraph" w:customStyle="1" w:styleId="WW-Corpsdetexte2">
    <w:name w:val="WW-Corps de texte 2"/>
    <w:basedOn w:val="Normal1"/>
    <w:rPr>
      <w:b/>
      <w:color w:val="0000FF"/>
      <w:sz w:val="20"/>
    </w:rPr>
  </w:style>
  <w:style w:type="paragraph" w:customStyle="1" w:styleId="Annexes">
    <w:name w:val="Annexes"/>
    <w:basedOn w:val="Normal1"/>
    <w:pPr>
      <w:spacing w:after="0"/>
      <w:ind w:left="820"/>
    </w:pPr>
  </w:style>
  <w:style w:type="paragraph" w:customStyle="1" w:styleId="LADRH3">
    <w:name w:val="LADRH3"/>
    <w:basedOn w:val="Annexes"/>
    <w:pPr>
      <w:spacing w:before="0"/>
    </w:pPr>
  </w:style>
  <w:style w:type="paragraph" w:customStyle="1" w:styleId="western">
    <w:name w:val="western"/>
    <w:basedOn w:val="Normal1"/>
    <w:pPr>
      <w:suppressAutoHyphens w:val="0"/>
      <w:spacing w:before="280" w:after="119"/>
      <w:textAlignment w:val="auto"/>
    </w:pPr>
    <w:rPr>
      <w:color w:val="000000"/>
      <w:lang w:eastAsia="fr-FR"/>
    </w:rPr>
  </w:style>
  <w:style w:type="paragraph" w:styleId="Paragraphedeliste">
    <w:name w:val="List Paragraph"/>
    <w:basedOn w:val="Normal1"/>
    <w:uiPriority w:val="34"/>
    <w:qFormat/>
    <w:pPr>
      <w:ind w:left="720"/>
      <w:contextualSpacing/>
    </w:pPr>
    <w:rPr>
      <w:szCs w:val="21"/>
    </w:rPr>
  </w:style>
  <w:style w:type="paragraph" w:styleId="NormalWeb">
    <w:name w:val="Normal (Web)"/>
    <w:basedOn w:val="Normal1"/>
    <w:uiPriority w:val="99"/>
    <w:semiHidden/>
    <w:unhideWhenUsed/>
    <w:pPr>
      <w:suppressAutoHyphens w:val="0"/>
      <w:spacing w:before="280" w:after="119"/>
      <w:textAlignment w:val="auto"/>
    </w:pPr>
    <w:rPr>
      <w:lang w:eastAsia="fr-FR"/>
    </w:rPr>
  </w:style>
  <w:style w:type="paragraph" w:customStyle="1" w:styleId="Default">
    <w:name w:val="Default"/>
    <w:pPr>
      <w:widowControl w:val="0"/>
      <w:suppressAutoHyphens/>
    </w:pPr>
    <w:rPr>
      <w:rFonts w:ascii="Calibri" w:hAnsi="Calibri"/>
      <w:color w:val="000000"/>
      <w:sz w:val="24"/>
    </w:rPr>
  </w:style>
  <w:style w:type="paragraph" w:customStyle="1" w:styleId="Quotations">
    <w:name w:val="Quotations"/>
    <w:basedOn w:val="Normal1"/>
  </w:style>
  <w:style w:type="numbering" w:customStyle="1" w:styleId="WWOutlineListStyle">
    <w:name w:val="WW_OutlineListStyle"/>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StyleNum">
    <w:name w:val="WW8StyleNum"/>
  </w:style>
  <w:style w:type="numbering" w:customStyle="1" w:styleId="WW8StyleNum1">
    <w:name w:val="WW8StyleNum1"/>
  </w:style>
  <w:style w:type="numbering" w:customStyle="1" w:styleId="WW8StyleNum2">
    <w:name w:val="WW8StyleNum2"/>
  </w:style>
  <w:style w:type="numbering" w:customStyle="1" w:styleId="WW8Num20">
    <w:name w:val="WW8Num20"/>
  </w:style>
  <w:style w:type="numbering" w:customStyle="1" w:styleId="WW8Num10">
    <w:name w:val="WW8Num10"/>
  </w:style>
  <w:style w:type="numbering" w:customStyle="1" w:styleId="WW8Num12">
    <w:name w:val="WW8Num12"/>
  </w:style>
  <w:style w:type="numbering" w:customStyle="1" w:styleId="WW8Num14">
    <w:name w:val="WW8Num14"/>
  </w:style>
  <w:style w:type="numbering" w:customStyle="1" w:styleId="WW8Num11">
    <w:name w:val="WW8Num11"/>
  </w:style>
  <w:style w:type="numbering" w:customStyle="1" w:styleId="WW8Num17">
    <w:name w:val="WW8Num17"/>
  </w:style>
  <w:style w:type="numbering" w:customStyle="1" w:styleId="WW8Num19">
    <w:name w:val="WW8Num19"/>
  </w:style>
  <w:style w:type="numbering" w:customStyle="1" w:styleId="WW8Num18">
    <w:name w:val="WW8Num18"/>
  </w:style>
  <w:style w:type="numbering" w:customStyle="1" w:styleId="WW8Num16">
    <w:name w:val="WW8Num16"/>
  </w:style>
  <w:style w:type="numbering" w:customStyle="1" w:styleId="WW8Num13">
    <w:name w:val="WW8Num13"/>
  </w:style>
  <w:style w:type="table" w:styleId="Grilledutableau">
    <w:name w:val="Table Grid"/>
    <w:basedOn w:val="TableauNormal"/>
    <w:uiPriority w:val="59"/>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pPr>
      <w:suppressAutoHyphens/>
      <w:autoSpaceDN w:val="0"/>
    </w:pPr>
    <w:rPr>
      <w:rFonts w:eastAsia="Times New Roman" w:cs="Times New Roman"/>
      <w:kern w:val="3"/>
      <w:szCs w:val="20"/>
      <w:lang w:eastAsia="fr-FR" w:bidi="ar-SA"/>
    </w:rPr>
  </w:style>
  <w:style w:type="character" w:styleId="Lienhypertexte">
    <w:name w:val="Hyperlink"/>
    <w:basedOn w:val="Policepardfaut"/>
    <w:uiPriority w:val="99"/>
    <w:unhideWhenUsed/>
    <w:rPr>
      <w:color w:val="0000FF"/>
      <w:u w:val="single"/>
    </w:rPr>
  </w:style>
  <w:style w:type="paragraph" w:styleId="TM1">
    <w:name w:val="toc 1"/>
    <w:basedOn w:val="Normal"/>
    <w:next w:val="Normal"/>
    <w:autoRedefine/>
    <w:uiPriority w:val="39"/>
    <w:unhideWhenUsed/>
    <w:pPr>
      <w:spacing w:after="100"/>
    </w:pPr>
  </w:style>
  <w:style w:type="character" w:customStyle="1" w:styleId="WW8Num47z0">
    <w:name w:val="WW8Num47z0"/>
    <w:rPr>
      <w:rFonts w:ascii="Wingdings" w:hAnsi="Wingdings"/>
    </w:rPr>
  </w:style>
  <w:style w:type="paragraph" w:styleId="TM2">
    <w:name w:val="toc 2"/>
    <w:basedOn w:val="Normal"/>
    <w:next w:val="Normal"/>
    <w:autoRedefine/>
    <w:uiPriority w:val="39"/>
    <w:unhideWhenUsed/>
    <w:pPr>
      <w:spacing w:after="100"/>
      <w:ind w:left="200"/>
    </w:pPr>
  </w:style>
  <w:style w:type="character" w:customStyle="1" w:styleId="st1">
    <w:name w:val="st1"/>
    <w:basedOn w:val="Policepardfaut"/>
  </w:style>
  <w:style w:type="paragraph" w:styleId="Textebrut">
    <w:name w:val="Plain Text"/>
    <w:basedOn w:val="Normal"/>
    <w:link w:val="TextebrutCar"/>
    <w:uiPriority w:val="99"/>
    <w:unhideWhenUsed/>
    <w:pPr>
      <w:suppressAutoHyphens w:val="0"/>
      <w:textAlignment w:val="auto"/>
    </w:pPr>
    <w:rPr>
      <w:rFonts w:ascii="Calibri" w:eastAsiaTheme="minorHAnsi" w:hAnsi="Calibri" w:cstheme="minorBidi"/>
      <w:color w:val="auto"/>
      <w:sz w:val="22"/>
      <w:szCs w:val="21"/>
      <w:lang w:eastAsia="en-US" w:bidi="ar-SA"/>
    </w:rPr>
  </w:style>
  <w:style w:type="character" w:customStyle="1" w:styleId="TextebrutCar">
    <w:name w:val="Texte brut Car"/>
    <w:basedOn w:val="Policepardfaut"/>
    <w:link w:val="Textebrut"/>
    <w:uiPriority w:val="99"/>
    <w:rPr>
      <w:rFonts w:ascii="Calibri" w:eastAsiaTheme="minorHAnsi" w:hAnsi="Calibri" w:cstheme="minorBidi"/>
      <w:sz w:val="22"/>
      <w:szCs w:val="21"/>
      <w:lang w:eastAsia="en-US" w:bidi="ar-SA"/>
    </w:rPr>
  </w:style>
  <w:style w:type="character" w:customStyle="1" w:styleId="lrzxr">
    <w:name w:val="lrzxr"/>
    <w:basedOn w:val="Policepardfaut"/>
  </w:style>
  <w:style w:type="character" w:styleId="Mentionnonrsolue">
    <w:name w:val="Unresolved Mention"/>
    <w:basedOn w:val="Policepardfau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777975">
      <w:bodyDiv w:val="1"/>
      <w:marLeft w:val="0"/>
      <w:marRight w:val="0"/>
      <w:marTop w:val="0"/>
      <w:marBottom w:val="0"/>
      <w:divBdr>
        <w:top w:val="none" w:sz="0" w:space="0" w:color="auto"/>
        <w:left w:val="none" w:sz="0" w:space="0" w:color="auto"/>
        <w:bottom w:val="none" w:sz="0" w:space="0" w:color="auto"/>
        <w:right w:val="none" w:sz="0" w:space="0" w:color="auto"/>
      </w:divBdr>
    </w:div>
    <w:div w:id="648828266">
      <w:bodyDiv w:val="1"/>
      <w:marLeft w:val="0"/>
      <w:marRight w:val="0"/>
      <w:marTop w:val="0"/>
      <w:marBottom w:val="0"/>
      <w:divBdr>
        <w:top w:val="none" w:sz="0" w:space="0" w:color="auto"/>
        <w:left w:val="none" w:sz="0" w:space="0" w:color="auto"/>
        <w:bottom w:val="none" w:sz="0" w:space="0" w:color="auto"/>
        <w:right w:val="none" w:sz="0" w:space="0" w:color="auto"/>
      </w:divBdr>
    </w:div>
    <w:div w:id="859706853">
      <w:bodyDiv w:val="1"/>
      <w:marLeft w:val="0"/>
      <w:marRight w:val="0"/>
      <w:marTop w:val="0"/>
      <w:marBottom w:val="0"/>
      <w:divBdr>
        <w:top w:val="none" w:sz="0" w:space="0" w:color="auto"/>
        <w:left w:val="none" w:sz="0" w:space="0" w:color="auto"/>
        <w:bottom w:val="none" w:sz="0" w:space="0" w:color="auto"/>
        <w:right w:val="none" w:sz="0" w:space="0" w:color="auto"/>
      </w:divBdr>
    </w:div>
    <w:div w:id="1145659783">
      <w:bodyDiv w:val="1"/>
      <w:marLeft w:val="0"/>
      <w:marRight w:val="0"/>
      <w:marTop w:val="0"/>
      <w:marBottom w:val="0"/>
      <w:divBdr>
        <w:top w:val="none" w:sz="0" w:space="0" w:color="auto"/>
        <w:left w:val="none" w:sz="0" w:space="0" w:color="auto"/>
        <w:bottom w:val="none" w:sz="0" w:space="0" w:color="auto"/>
        <w:right w:val="none" w:sz="0" w:space="0" w:color="auto"/>
      </w:divBdr>
    </w:div>
    <w:div w:id="1292521236">
      <w:bodyDiv w:val="1"/>
      <w:marLeft w:val="0"/>
      <w:marRight w:val="0"/>
      <w:marTop w:val="0"/>
      <w:marBottom w:val="0"/>
      <w:divBdr>
        <w:top w:val="none" w:sz="0" w:space="0" w:color="auto"/>
        <w:left w:val="none" w:sz="0" w:space="0" w:color="auto"/>
        <w:bottom w:val="none" w:sz="0" w:space="0" w:color="auto"/>
        <w:right w:val="none" w:sz="0" w:space="0" w:color="auto"/>
      </w:divBdr>
    </w:div>
    <w:div w:id="1352416723">
      <w:bodyDiv w:val="1"/>
      <w:marLeft w:val="0"/>
      <w:marRight w:val="0"/>
      <w:marTop w:val="0"/>
      <w:marBottom w:val="0"/>
      <w:divBdr>
        <w:top w:val="none" w:sz="0" w:space="0" w:color="auto"/>
        <w:left w:val="none" w:sz="0" w:space="0" w:color="auto"/>
        <w:bottom w:val="none" w:sz="0" w:space="0" w:color="auto"/>
        <w:right w:val="none" w:sz="0" w:space="0" w:color="auto"/>
      </w:divBdr>
    </w:div>
    <w:div w:id="1640497432">
      <w:bodyDiv w:val="1"/>
      <w:marLeft w:val="0"/>
      <w:marRight w:val="0"/>
      <w:marTop w:val="0"/>
      <w:marBottom w:val="0"/>
      <w:divBdr>
        <w:top w:val="none" w:sz="0" w:space="0" w:color="auto"/>
        <w:left w:val="none" w:sz="0" w:space="0" w:color="auto"/>
        <w:bottom w:val="none" w:sz="0" w:space="0" w:color="auto"/>
        <w:right w:val="none" w:sz="0" w:space="0" w:color="auto"/>
      </w:divBdr>
    </w:div>
    <w:div w:id="2007201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chorus-pro.gouv.fr" TargetMode="External"/><Relationship Id="rId4" Type="http://schemas.openxmlformats.org/officeDocument/2006/relationships/settings" Target="settings.xml"/><Relationship Id="rId9" Type="http://schemas.openxmlformats.org/officeDocument/2006/relationships/hyperlink" Target="mailto:brigitte.lanon@financ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8EEF9-EB77-4C68-A712-B0FCFC708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8</Pages>
  <Words>2540</Words>
  <Characters>13973</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MAPA</vt:lpstr>
    </vt:vector>
  </TitlesOfParts>
  <Company>MINEFI</Company>
  <LinksUpToDate>false</LinksUpToDate>
  <CharactersWithSpaces>16481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dc:title>
  <dc:subject>Fournitures administratives</dc:subject>
  <dc:creator>Grégory PRADAYROL</dc:creator>
  <cp:lastModifiedBy>PEUCH Thierry</cp:lastModifiedBy>
  <cp:revision>8</cp:revision>
  <cp:lastPrinted>2024-03-26T09:25:00Z</cp:lastPrinted>
  <dcterms:created xsi:type="dcterms:W3CDTF">2025-06-17T07:08:00Z</dcterms:created>
  <dcterms:modified xsi:type="dcterms:W3CDTF">2025-07-03T11:54:00Z</dcterms:modified>
  <dc:language>fr-FR</dc:language>
</cp:coreProperties>
</file>